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C35D9" w14:textId="781F765A" w:rsidR="00172041" w:rsidRDefault="006F5563"/>
    <w:p w14:paraId="2D5A9406" w14:textId="77777777" w:rsidR="00A12232" w:rsidRDefault="00A12232" w:rsidP="00A12232">
      <w:pPr>
        <w:autoSpaceDE w:val="0"/>
        <w:autoSpaceDN w:val="0"/>
        <w:adjustRightInd w:val="0"/>
        <w:jc w:val="center"/>
        <w:rPr>
          <w:rFonts w:ascii="Century Gothic" w:hAnsi="Century Gothic" w:cs="Century Gothic"/>
          <w:b/>
          <w:bCs/>
          <w:sz w:val="28"/>
          <w:szCs w:val="28"/>
        </w:rPr>
      </w:pPr>
      <w:r w:rsidRPr="00B8498A">
        <w:rPr>
          <w:rFonts w:ascii="Century Gothic" w:hAnsi="Century Gothic" w:cs="Century Gothic"/>
          <w:b/>
          <w:bCs/>
          <w:sz w:val="28"/>
          <w:szCs w:val="28"/>
        </w:rPr>
        <w:t>JEPB Monthly Meeting Agenda</w:t>
      </w:r>
    </w:p>
    <w:p w14:paraId="06ED77A9" w14:textId="061F1A20" w:rsidR="00A12232" w:rsidRPr="00B8498A" w:rsidRDefault="00AC079E" w:rsidP="00A12232">
      <w:pPr>
        <w:autoSpaceDE w:val="0"/>
        <w:autoSpaceDN w:val="0"/>
        <w:adjustRightInd w:val="0"/>
        <w:jc w:val="center"/>
        <w:rPr>
          <w:rFonts w:ascii="Century Gothic" w:hAnsi="Century Gothic" w:cs="Century Gothic"/>
          <w:b/>
          <w:sz w:val="28"/>
          <w:szCs w:val="28"/>
        </w:rPr>
      </w:pPr>
      <w:r>
        <w:rPr>
          <w:rFonts w:ascii="Century Gothic" w:hAnsi="Century Gothic" w:cs="Century Gothic"/>
          <w:b/>
          <w:sz w:val="28"/>
          <w:szCs w:val="28"/>
        </w:rPr>
        <w:t xml:space="preserve">Monday, </w:t>
      </w:r>
      <w:r w:rsidR="0027408B">
        <w:rPr>
          <w:rFonts w:ascii="Century Gothic" w:hAnsi="Century Gothic" w:cs="Century Gothic"/>
          <w:b/>
          <w:sz w:val="28"/>
          <w:szCs w:val="28"/>
        </w:rPr>
        <w:t>April 18</w:t>
      </w:r>
      <w:r w:rsidR="008D3936">
        <w:rPr>
          <w:rFonts w:ascii="Century Gothic" w:hAnsi="Century Gothic" w:cs="Century Gothic"/>
          <w:b/>
          <w:sz w:val="28"/>
          <w:szCs w:val="28"/>
        </w:rPr>
        <w:t>, 2022</w:t>
      </w:r>
    </w:p>
    <w:p w14:paraId="5F143AD3" w14:textId="77777777" w:rsidR="00A12232" w:rsidRDefault="00A12232" w:rsidP="00A12232">
      <w:pPr>
        <w:autoSpaceDE w:val="0"/>
        <w:autoSpaceDN w:val="0"/>
        <w:adjustRightInd w:val="0"/>
        <w:jc w:val="center"/>
        <w:rPr>
          <w:rFonts w:ascii="Century Gothic" w:hAnsi="Century Gothic" w:cs="Century Gothic"/>
          <w:color w:val="000000"/>
          <w:sz w:val="28"/>
          <w:szCs w:val="28"/>
        </w:rPr>
      </w:pPr>
      <w:bookmarkStart w:id="0" w:name="_Hlk48051169"/>
      <w:r>
        <w:rPr>
          <w:rFonts w:ascii="Century Gothic" w:hAnsi="Century Gothic" w:cs="Century Gothic"/>
          <w:color w:val="000000"/>
          <w:sz w:val="28"/>
          <w:szCs w:val="28"/>
        </w:rPr>
        <w:t>Physical Location:</w:t>
      </w:r>
    </w:p>
    <w:p w14:paraId="2621A5D8" w14:textId="77777777" w:rsidR="00A12232" w:rsidRPr="005A0EAC" w:rsidRDefault="00A12232" w:rsidP="00A12232">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5:00 p.m. - Ed Ball Building</w:t>
      </w:r>
    </w:p>
    <w:p w14:paraId="73E4063D" w14:textId="77777777" w:rsidR="00A12232" w:rsidRDefault="00A12232" w:rsidP="00A12232">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 xml:space="preserve">214 N. Hogan Street – Conference Room </w:t>
      </w:r>
      <w:r w:rsidRPr="00B8498A">
        <w:rPr>
          <w:rFonts w:ascii="Century Gothic" w:hAnsi="Century Gothic" w:cs="Century Gothic"/>
          <w:color w:val="000000"/>
          <w:sz w:val="28"/>
          <w:szCs w:val="28"/>
        </w:rPr>
        <w:t>110</w:t>
      </w:r>
    </w:p>
    <w:p w14:paraId="0DD049E6" w14:textId="77777777" w:rsidR="00A12232" w:rsidRPr="005A0EAC" w:rsidRDefault="00A12232" w:rsidP="00A12232">
      <w:pPr>
        <w:autoSpaceDE w:val="0"/>
        <w:autoSpaceDN w:val="0"/>
        <w:adjustRightInd w:val="0"/>
        <w:rPr>
          <w:rFonts w:ascii="Century Gothic" w:hAnsi="Century Gothic" w:cs="Century Gothic"/>
          <w:color w:val="000000"/>
          <w:sz w:val="28"/>
          <w:szCs w:val="28"/>
        </w:rPr>
      </w:pPr>
    </w:p>
    <w:p w14:paraId="0AAFBA39" w14:textId="77777777" w:rsidR="00A12232" w:rsidRPr="00B8498A" w:rsidRDefault="00A12232" w:rsidP="00A12232">
      <w:pPr>
        <w:autoSpaceDE w:val="0"/>
        <w:autoSpaceDN w:val="0"/>
        <w:adjustRightInd w:val="0"/>
        <w:jc w:val="center"/>
        <w:rPr>
          <w:rFonts w:ascii="Century Gothic" w:hAnsi="Century Gothic" w:cs="Century Gothic"/>
          <w:color w:val="000000"/>
          <w:sz w:val="28"/>
          <w:szCs w:val="28"/>
        </w:rPr>
      </w:pPr>
      <w:r w:rsidRPr="00B8498A">
        <w:rPr>
          <w:rFonts w:ascii="Century Gothic" w:hAnsi="Century Gothic" w:cs="Century Gothic"/>
          <w:b/>
          <w:bCs/>
          <w:color w:val="000000"/>
          <w:sz w:val="28"/>
          <w:szCs w:val="28"/>
        </w:rPr>
        <w:t>BOARD MEETING AGENDA</w:t>
      </w:r>
    </w:p>
    <w:p w14:paraId="1287E2FE" w14:textId="77777777" w:rsidR="00A12232" w:rsidRPr="00054AFF" w:rsidRDefault="00A12232" w:rsidP="00A12232">
      <w:pPr>
        <w:autoSpaceDE w:val="0"/>
        <w:autoSpaceDN w:val="0"/>
        <w:adjustRightInd w:val="0"/>
        <w:rPr>
          <w:rFonts w:ascii="Century Gothic" w:hAnsi="Century Gothic" w:cs="Century Gothic"/>
          <w:b/>
          <w:bCs/>
          <w:color w:val="000000"/>
          <w:sz w:val="22"/>
        </w:rPr>
      </w:pPr>
    </w:p>
    <w:p w14:paraId="021BEC4A" w14:textId="77777777" w:rsidR="00A12232" w:rsidRPr="00054AFF" w:rsidRDefault="00A12232" w:rsidP="00A12232">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DAVID WOOD</w:t>
      </w:r>
      <w:r w:rsidRPr="00054AFF">
        <w:rPr>
          <w:rFonts w:ascii="Century Gothic" w:hAnsi="Century Gothic" w:cs="Century Gothic"/>
          <w:b/>
          <w:bCs/>
          <w:color w:val="000000"/>
          <w:sz w:val="22"/>
        </w:rPr>
        <w:t xml:space="preserve"> </w:t>
      </w:r>
    </w:p>
    <w:bookmarkEnd w:id="0"/>
    <w:p w14:paraId="04448756" w14:textId="77777777" w:rsidR="00A12232" w:rsidRPr="00054AFF" w:rsidRDefault="00A12232" w:rsidP="00A12232">
      <w:pPr>
        <w:autoSpaceDE w:val="0"/>
        <w:autoSpaceDN w:val="0"/>
        <w:adjustRightInd w:val="0"/>
        <w:rPr>
          <w:rFonts w:ascii="Century Gothic" w:hAnsi="Century Gothic" w:cs="Century Gothic"/>
          <w:color w:val="000000"/>
          <w:sz w:val="22"/>
        </w:rPr>
      </w:pPr>
    </w:p>
    <w:p w14:paraId="5408A76A" w14:textId="77777777" w:rsidR="00A12232"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 CHAIRMAN’S REMARKS</w:t>
      </w:r>
    </w:p>
    <w:p w14:paraId="6B0B6EAE" w14:textId="77777777" w:rsidR="00A12232" w:rsidRPr="00054AFF" w:rsidRDefault="00A12232" w:rsidP="00A12232">
      <w:pPr>
        <w:autoSpaceDE w:val="0"/>
        <w:autoSpaceDN w:val="0"/>
        <w:adjustRightInd w:val="0"/>
        <w:rPr>
          <w:rFonts w:ascii="Century Gothic" w:hAnsi="Century Gothic" w:cs="Century Gothic"/>
          <w:b/>
          <w:bCs/>
          <w:color w:val="000000"/>
          <w:sz w:val="22"/>
        </w:rPr>
      </w:pPr>
    </w:p>
    <w:p w14:paraId="30A1EA52" w14:textId="77777777" w:rsidR="00A12232" w:rsidRPr="00054AFF"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 COMMENTS FROM THE PUBLIC </w:t>
      </w:r>
    </w:p>
    <w:p w14:paraId="4EA70ED9" w14:textId="77777777" w:rsidR="00A12232" w:rsidRPr="00054AFF" w:rsidRDefault="00A12232" w:rsidP="00A12232">
      <w:pPr>
        <w:autoSpaceDE w:val="0"/>
        <w:autoSpaceDN w:val="0"/>
        <w:adjustRightInd w:val="0"/>
        <w:rPr>
          <w:rFonts w:ascii="Century Gothic" w:hAnsi="Century Gothic" w:cs="Century Gothic"/>
          <w:color w:val="000000"/>
          <w:sz w:val="17"/>
          <w:szCs w:val="17"/>
        </w:rPr>
      </w:pPr>
      <w:bookmarkStart w:id="1" w:name="_GoBack"/>
      <w:bookmarkEnd w:id="1"/>
    </w:p>
    <w:p w14:paraId="79F18A79" w14:textId="77777777" w:rsidR="00A12232" w:rsidRPr="00054AFF"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III. APPROVAL OF MINUTES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4C4ADDB8" w14:textId="2E8AB864" w:rsidR="00AC079E" w:rsidRDefault="00A12232" w:rsidP="00A12232">
      <w:pPr>
        <w:numPr>
          <w:ilvl w:val="0"/>
          <w:numId w:val="4"/>
        </w:numPr>
        <w:autoSpaceDE w:val="0"/>
        <w:autoSpaceDN w:val="0"/>
        <w:adjustRightInd w:val="0"/>
        <w:spacing w:after="200" w:line="276" w:lineRule="auto"/>
        <w:ind w:left="1080"/>
        <w:contextualSpacing/>
        <w:rPr>
          <w:rFonts w:ascii="Century Gothic" w:hAnsi="Century Gothic"/>
          <w:bCs/>
          <w:sz w:val="22"/>
        </w:rPr>
      </w:pPr>
      <w:r w:rsidRPr="008D3936">
        <w:rPr>
          <w:rFonts w:ascii="Century Gothic" w:hAnsi="Century Gothic"/>
          <w:bCs/>
          <w:sz w:val="22"/>
        </w:rPr>
        <w:t xml:space="preserve">Minutes of </w:t>
      </w:r>
      <w:r w:rsidR="00A303DD">
        <w:rPr>
          <w:rFonts w:ascii="Century Gothic" w:hAnsi="Century Gothic"/>
          <w:bCs/>
          <w:sz w:val="22"/>
        </w:rPr>
        <w:t xml:space="preserve">March </w:t>
      </w:r>
      <w:r w:rsidR="00AC079E">
        <w:rPr>
          <w:rFonts w:ascii="Century Gothic" w:hAnsi="Century Gothic"/>
          <w:bCs/>
          <w:sz w:val="22"/>
        </w:rPr>
        <w:t>2</w:t>
      </w:r>
      <w:r w:rsidR="00A303DD">
        <w:rPr>
          <w:rFonts w:ascii="Century Gothic" w:hAnsi="Century Gothic"/>
          <w:bCs/>
          <w:sz w:val="22"/>
        </w:rPr>
        <w:t>1</w:t>
      </w:r>
      <w:r w:rsidRPr="008D3936">
        <w:rPr>
          <w:rFonts w:ascii="Century Gothic" w:hAnsi="Century Gothic"/>
          <w:bCs/>
          <w:sz w:val="22"/>
        </w:rPr>
        <w:t>, 202</w:t>
      </w:r>
      <w:r w:rsidR="0097512A">
        <w:rPr>
          <w:rFonts w:ascii="Century Gothic" w:hAnsi="Century Gothic"/>
          <w:bCs/>
          <w:sz w:val="22"/>
        </w:rPr>
        <w:t>2</w:t>
      </w:r>
      <w:r w:rsidRPr="008D3936">
        <w:rPr>
          <w:rFonts w:ascii="Century Gothic" w:hAnsi="Century Gothic"/>
          <w:bCs/>
          <w:sz w:val="22"/>
        </w:rPr>
        <w:t>, Monthly Meeting</w:t>
      </w:r>
    </w:p>
    <w:p w14:paraId="19EA822E" w14:textId="77777777" w:rsidR="00A12232" w:rsidRPr="00054AFF" w:rsidRDefault="00A12232" w:rsidP="00A12232">
      <w:pPr>
        <w:autoSpaceDE w:val="0"/>
        <w:autoSpaceDN w:val="0"/>
        <w:adjustRightInd w:val="0"/>
        <w:rPr>
          <w:rFonts w:ascii="Century Gothic" w:hAnsi="Century Gothic"/>
          <w:b/>
          <w:bCs/>
          <w:sz w:val="22"/>
        </w:rPr>
      </w:pPr>
    </w:p>
    <w:p w14:paraId="5490EDD6" w14:textId="77777777" w:rsidR="00A12232" w:rsidRPr="00054AFF" w:rsidRDefault="00A12232" w:rsidP="00A12232">
      <w:pPr>
        <w:autoSpaceDE w:val="0"/>
        <w:autoSpaceDN w:val="0"/>
        <w:adjustRightInd w:val="0"/>
        <w:rPr>
          <w:rFonts w:ascii="Century Gothic" w:hAnsi="Century Gothic"/>
          <w:sz w:val="22"/>
        </w:rPr>
      </w:pPr>
      <w:r w:rsidRPr="00054AFF">
        <w:rPr>
          <w:rFonts w:ascii="Century Gothic" w:eastAsiaTheme="majorEastAsia" w:hAnsi="Century Gothic" w:cstheme="majorBidi"/>
          <w:color w:val="365F91" w:themeColor="accent1" w:themeShade="BF"/>
          <w:sz w:val="22"/>
        </w:rPr>
        <w:t xml:space="preserve">IV. </w:t>
      </w:r>
      <w:r w:rsidRPr="00E85E9E">
        <w:rPr>
          <w:rFonts w:ascii="Century Gothic" w:eastAsiaTheme="majorEastAsia" w:hAnsi="Century Gothic" w:cstheme="majorBidi"/>
          <w:color w:val="4F81BD" w:themeColor="accent1"/>
          <w:sz w:val="22"/>
        </w:rPr>
        <w:t>CONSENT ORDERS</w:t>
      </w:r>
      <w:r>
        <w:rPr>
          <w:rFonts w:ascii="Century Gothic" w:eastAsiaTheme="majorEastAsia" w:hAnsi="Century Gothic" w:cstheme="majorBidi"/>
          <w:sz w:val="22"/>
        </w:rPr>
        <w:tab/>
      </w:r>
      <w:r>
        <w:rPr>
          <w:rFonts w:ascii="Century Gothic" w:eastAsiaTheme="majorEastAsia" w:hAnsi="Century Gothic" w:cstheme="majorBidi"/>
          <w:sz w:val="22"/>
        </w:rPr>
        <w:tab/>
      </w:r>
      <w:r>
        <w:rPr>
          <w:rFonts w:ascii="Century Gothic" w:eastAsiaTheme="majorEastAsia" w:hAnsi="Century Gothic" w:cstheme="majorBidi"/>
          <w:sz w:val="22"/>
        </w:rPr>
        <w:tab/>
      </w:r>
      <w:r w:rsidRPr="00054AFF">
        <w:rPr>
          <w:rFonts w:ascii="Century Gothic" w:hAnsi="Century Gothic"/>
          <w:b/>
          <w:bCs/>
          <w:sz w:val="22"/>
        </w:rPr>
        <w:tab/>
      </w:r>
      <w:r w:rsidRPr="00054AFF">
        <w:rPr>
          <w:rFonts w:ascii="Century Gothic" w:hAnsi="Century Gothic"/>
          <w:b/>
          <w:bCs/>
          <w:sz w:val="22"/>
        </w:rPr>
        <w:tab/>
      </w:r>
      <w:r>
        <w:rPr>
          <w:rFonts w:ascii="Century Gothic" w:hAnsi="Century Gothic"/>
          <w:b/>
          <w:bCs/>
          <w:sz w:val="22"/>
        </w:rPr>
        <w:tab/>
        <w:t>TREE KILBOURN</w:t>
      </w:r>
      <w:r w:rsidRPr="00054AFF">
        <w:rPr>
          <w:rFonts w:ascii="Century Gothic" w:hAnsi="Century Gothic"/>
          <w:b/>
          <w:bCs/>
          <w:sz w:val="22"/>
        </w:rPr>
        <w:t xml:space="preserve"> </w:t>
      </w:r>
    </w:p>
    <w:p w14:paraId="3151895F" w14:textId="77777777" w:rsidR="00A303DD" w:rsidRDefault="00A303DD" w:rsidP="00A12232">
      <w:pPr>
        <w:keepNext/>
        <w:keepLines/>
        <w:spacing w:before="40"/>
        <w:ind w:firstLine="720"/>
        <w:outlineLvl w:val="1"/>
        <w:rPr>
          <w:rFonts w:ascii="Century Gothic" w:eastAsia="Calibri" w:hAnsi="Century Gothic" w:cstheme="majorBidi"/>
          <w:b/>
          <w:bCs/>
          <w:color w:val="365F91" w:themeColor="accent1" w:themeShade="BF"/>
          <w:sz w:val="22"/>
          <w:u w:val="single"/>
        </w:rPr>
      </w:pPr>
      <w:bookmarkStart w:id="2" w:name="_Hlk48050436"/>
    </w:p>
    <w:p w14:paraId="5700FD63" w14:textId="3D2436A7" w:rsidR="00A12232" w:rsidRPr="006173A2" w:rsidRDefault="00A12232" w:rsidP="00A12232">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6173A2">
        <w:rPr>
          <w:rFonts w:ascii="Century Gothic" w:eastAsia="Calibri" w:hAnsi="Century Gothic" w:cstheme="majorBidi"/>
          <w:b/>
          <w:bCs/>
          <w:color w:val="365F91" w:themeColor="accent1" w:themeShade="BF"/>
          <w:sz w:val="22"/>
          <w:u w:val="single"/>
        </w:rPr>
        <w:t>Air/Noise</w:t>
      </w:r>
    </w:p>
    <w:bookmarkEnd w:id="2"/>
    <w:p w14:paraId="424ED090" w14:textId="77777777" w:rsidR="00A303DD" w:rsidRPr="00D62832" w:rsidRDefault="00A303DD" w:rsidP="00A303DD">
      <w:pPr>
        <w:pStyle w:val="ListParagraph"/>
        <w:widowControl w:val="0"/>
        <w:numPr>
          <w:ilvl w:val="0"/>
          <w:numId w:val="12"/>
        </w:numPr>
        <w:spacing w:line="218" w:lineRule="auto"/>
        <w:jc w:val="both"/>
        <w:rPr>
          <w:rFonts w:eastAsia="Times New Roman" w:cs="Arial"/>
          <w:bCs/>
          <w:snapToGrid w:val="0"/>
          <w:sz w:val="21"/>
          <w:szCs w:val="21"/>
        </w:rPr>
      </w:pPr>
      <w:r w:rsidRPr="00D62832">
        <w:rPr>
          <w:rFonts w:eastAsia="Times New Roman" w:cs="Arial"/>
          <w:b/>
          <w:snapToGrid w:val="0"/>
          <w:sz w:val="21"/>
          <w:szCs w:val="21"/>
        </w:rPr>
        <w:t xml:space="preserve">Elev8 Partners, LLC d/b/a Elev8 Demolition (AP-22-04) - </w:t>
      </w:r>
      <w:r w:rsidRPr="00D62832">
        <w:rPr>
          <w:rFonts w:eastAsia="Times New Roman" w:cs="Arial"/>
          <w:bCs/>
          <w:snapToGrid w:val="0"/>
          <w:sz w:val="21"/>
          <w:szCs w:val="21"/>
        </w:rPr>
        <w:t>Failure to comply with asbestos NESHAP notice requirements for demolition or renovation</w:t>
      </w:r>
    </w:p>
    <w:p w14:paraId="64A3E99F" w14:textId="77777777" w:rsidR="00A303DD" w:rsidRDefault="00A303DD" w:rsidP="00A303DD">
      <w:pPr>
        <w:ind w:left="5040" w:hanging="3600"/>
        <w:rPr>
          <w:rFonts w:cs="Arial"/>
          <w:sz w:val="20"/>
          <w:u w:val="single"/>
        </w:rPr>
      </w:pPr>
    </w:p>
    <w:p w14:paraId="7F465346" w14:textId="77777777" w:rsidR="00A303DD" w:rsidRPr="003A3761" w:rsidRDefault="00A303DD" w:rsidP="00A303DD">
      <w:pPr>
        <w:ind w:left="5040" w:hanging="3600"/>
        <w:rPr>
          <w:rFonts w:cs="Arial"/>
          <w:sz w:val="20"/>
        </w:rPr>
      </w:pPr>
      <w:r w:rsidRPr="003A3761">
        <w:rPr>
          <w:rFonts w:cs="Arial"/>
          <w:sz w:val="20"/>
          <w:u w:val="single"/>
        </w:rPr>
        <w:t>Respondent’s corrective actions:</w:t>
      </w:r>
      <w:r>
        <w:rPr>
          <w:rFonts w:cs="Arial"/>
          <w:sz w:val="20"/>
        </w:rPr>
        <w:tab/>
      </w:r>
      <w:r w:rsidRPr="003A3761">
        <w:rPr>
          <w:rFonts w:cs="Arial"/>
          <w:sz w:val="20"/>
        </w:rPr>
        <w:t>Surveys and clearance letter document RACM abated prior to demolition</w:t>
      </w:r>
    </w:p>
    <w:p w14:paraId="47F58E74" w14:textId="77777777" w:rsidR="00A303DD" w:rsidRPr="003A3761" w:rsidRDefault="00A303DD" w:rsidP="00A303DD">
      <w:pPr>
        <w:rPr>
          <w:rFonts w:cs="Arial"/>
          <w:sz w:val="20"/>
        </w:rPr>
      </w:pPr>
    </w:p>
    <w:p w14:paraId="3266D2E1" w14:textId="77777777" w:rsidR="00A303DD" w:rsidRPr="003A3761" w:rsidRDefault="00A303DD" w:rsidP="00A303DD">
      <w:pPr>
        <w:ind w:left="720" w:firstLine="720"/>
        <w:rPr>
          <w:rFonts w:cs="Arial"/>
          <w:sz w:val="20"/>
        </w:rPr>
      </w:pPr>
      <w:r w:rsidRPr="003A3761">
        <w:rPr>
          <w:rFonts w:cs="Arial"/>
          <w:sz w:val="20"/>
          <w:u w:val="single"/>
        </w:rPr>
        <w:t>Consent Order settlement fee:</w:t>
      </w:r>
      <w:r w:rsidRPr="003A3761">
        <w:rPr>
          <w:rFonts w:cs="Arial"/>
          <w:sz w:val="20"/>
        </w:rPr>
        <w:tab/>
      </w:r>
      <w:r>
        <w:rPr>
          <w:rFonts w:cs="Arial"/>
          <w:sz w:val="20"/>
        </w:rPr>
        <w:tab/>
      </w:r>
      <w:r w:rsidRPr="00D62832">
        <w:rPr>
          <w:rFonts w:cs="Arial"/>
          <w:b/>
          <w:bCs/>
          <w:sz w:val="20"/>
        </w:rPr>
        <w:t>$250</w:t>
      </w:r>
    </w:p>
    <w:p w14:paraId="2DB4DA4E" w14:textId="77777777" w:rsidR="00A303DD" w:rsidRPr="00D62832" w:rsidRDefault="00A303DD" w:rsidP="00A303DD">
      <w:pPr>
        <w:pStyle w:val="ListParagraph"/>
        <w:numPr>
          <w:ilvl w:val="0"/>
          <w:numId w:val="13"/>
        </w:numPr>
        <w:rPr>
          <w:rFonts w:cs="Arial"/>
          <w:sz w:val="20"/>
        </w:rPr>
      </w:pPr>
      <w:r w:rsidRPr="00D62832">
        <w:rPr>
          <w:rFonts w:cs="Arial"/>
          <w:sz w:val="20"/>
        </w:rPr>
        <w:t>Surveys on all buildings complete, ACM removed and Clearance documents for all buildings. Notice filed with start date same date as notice date. Demolition started prior to revised notice being received:</w:t>
      </w:r>
    </w:p>
    <w:p w14:paraId="0E27B0A4" w14:textId="77777777" w:rsidR="00A303DD" w:rsidRPr="00D62832" w:rsidRDefault="00A303DD" w:rsidP="00A303DD">
      <w:pPr>
        <w:pStyle w:val="ListParagraph"/>
        <w:ind w:left="3960"/>
        <w:rPr>
          <w:rFonts w:cs="Arial"/>
          <w:sz w:val="20"/>
        </w:rPr>
      </w:pPr>
      <w:r w:rsidRPr="00D62832">
        <w:rPr>
          <w:rFonts w:cs="Arial"/>
          <w:sz w:val="20"/>
        </w:rPr>
        <w:t>Late, incomplete or inaccurate renovation notice - $250 1st violation</w:t>
      </w:r>
    </w:p>
    <w:p w14:paraId="23B02FF0" w14:textId="77777777" w:rsidR="00A303DD" w:rsidRPr="003A3761" w:rsidRDefault="00A303DD" w:rsidP="00A303DD">
      <w:pPr>
        <w:ind w:left="1440"/>
        <w:rPr>
          <w:rFonts w:cs="Arial"/>
          <w:sz w:val="20"/>
        </w:rPr>
      </w:pPr>
    </w:p>
    <w:p w14:paraId="392BD20B" w14:textId="77777777" w:rsidR="00A303DD" w:rsidRPr="003A3761" w:rsidRDefault="00A303DD" w:rsidP="00A303DD">
      <w:pPr>
        <w:ind w:left="720" w:firstLine="720"/>
        <w:rPr>
          <w:rFonts w:cs="Arial"/>
          <w:sz w:val="20"/>
        </w:rPr>
      </w:pPr>
      <w:r w:rsidRPr="003A3761">
        <w:rPr>
          <w:rFonts w:cs="Arial"/>
          <w:sz w:val="20"/>
          <w:u w:val="single"/>
        </w:rPr>
        <w:t>Consent Order requirements:</w:t>
      </w:r>
      <w:r w:rsidRPr="003A3761">
        <w:rPr>
          <w:rFonts w:cs="Arial"/>
          <w:sz w:val="20"/>
        </w:rPr>
        <w:tab/>
      </w:r>
      <w:r>
        <w:rPr>
          <w:rFonts w:cs="Arial"/>
          <w:sz w:val="20"/>
        </w:rPr>
        <w:tab/>
      </w:r>
      <w:r w:rsidRPr="003A3761">
        <w:rPr>
          <w:rFonts w:cs="Arial"/>
          <w:sz w:val="20"/>
        </w:rPr>
        <w:t>None</w:t>
      </w:r>
    </w:p>
    <w:p w14:paraId="6125D140" w14:textId="77777777" w:rsidR="00A303DD" w:rsidRDefault="00A303DD" w:rsidP="00A303DD">
      <w:pPr>
        <w:widowControl w:val="0"/>
        <w:spacing w:line="218" w:lineRule="auto"/>
        <w:jc w:val="both"/>
        <w:rPr>
          <w:rFonts w:eastAsia="Times New Roman" w:cs="Arial"/>
          <w:bCs/>
          <w:snapToGrid w:val="0"/>
          <w:sz w:val="21"/>
          <w:szCs w:val="21"/>
        </w:rPr>
      </w:pPr>
    </w:p>
    <w:p w14:paraId="02D97B9D" w14:textId="200FE026" w:rsidR="00A303DD" w:rsidRDefault="00A303DD" w:rsidP="00A303DD">
      <w:pPr>
        <w:widowControl w:val="0"/>
        <w:spacing w:line="218" w:lineRule="auto"/>
        <w:jc w:val="both"/>
        <w:rPr>
          <w:rFonts w:eastAsia="Times New Roman" w:cs="Arial"/>
          <w:bCs/>
          <w:snapToGrid w:val="0"/>
          <w:sz w:val="21"/>
          <w:szCs w:val="21"/>
        </w:rPr>
      </w:pPr>
    </w:p>
    <w:p w14:paraId="1C16D518" w14:textId="32F9B18B" w:rsidR="00A303DD" w:rsidRDefault="00A303DD" w:rsidP="00A303DD">
      <w:pPr>
        <w:widowControl w:val="0"/>
        <w:spacing w:line="218" w:lineRule="auto"/>
        <w:jc w:val="both"/>
        <w:rPr>
          <w:rFonts w:eastAsia="Times New Roman" w:cs="Arial"/>
          <w:bCs/>
          <w:snapToGrid w:val="0"/>
          <w:sz w:val="21"/>
          <w:szCs w:val="21"/>
        </w:rPr>
      </w:pPr>
    </w:p>
    <w:p w14:paraId="301CE156" w14:textId="5EFD70CA" w:rsidR="00A303DD" w:rsidRDefault="00A303DD" w:rsidP="00A303DD">
      <w:pPr>
        <w:widowControl w:val="0"/>
        <w:spacing w:line="218" w:lineRule="auto"/>
        <w:jc w:val="both"/>
        <w:rPr>
          <w:rFonts w:eastAsia="Times New Roman" w:cs="Arial"/>
          <w:bCs/>
          <w:snapToGrid w:val="0"/>
          <w:sz w:val="21"/>
          <w:szCs w:val="21"/>
        </w:rPr>
      </w:pPr>
    </w:p>
    <w:p w14:paraId="3BDCD956" w14:textId="228A9DEC" w:rsidR="00A303DD" w:rsidRDefault="00A303DD" w:rsidP="00A303DD">
      <w:pPr>
        <w:widowControl w:val="0"/>
        <w:spacing w:line="218" w:lineRule="auto"/>
        <w:jc w:val="both"/>
        <w:rPr>
          <w:rFonts w:eastAsia="Times New Roman" w:cs="Arial"/>
          <w:bCs/>
          <w:snapToGrid w:val="0"/>
          <w:sz w:val="21"/>
          <w:szCs w:val="21"/>
        </w:rPr>
      </w:pPr>
    </w:p>
    <w:p w14:paraId="3AD92CDE" w14:textId="389B1B16" w:rsidR="00A303DD" w:rsidRDefault="00A303DD" w:rsidP="00A303DD">
      <w:pPr>
        <w:widowControl w:val="0"/>
        <w:spacing w:line="218" w:lineRule="auto"/>
        <w:jc w:val="both"/>
        <w:rPr>
          <w:rFonts w:eastAsia="Times New Roman" w:cs="Arial"/>
          <w:bCs/>
          <w:snapToGrid w:val="0"/>
          <w:sz w:val="21"/>
          <w:szCs w:val="21"/>
        </w:rPr>
      </w:pPr>
    </w:p>
    <w:p w14:paraId="316AFE0C" w14:textId="77777777" w:rsidR="00A303DD" w:rsidRPr="00D62832" w:rsidRDefault="00A303DD" w:rsidP="00A303DD">
      <w:pPr>
        <w:widowControl w:val="0"/>
        <w:spacing w:line="218" w:lineRule="auto"/>
        <w:jc w:val="both"/>
        <w:rPr>
          <w:rFonts w:eastAsia="Times New Roman" w:cs="Arial"/>
          <w:bCs/>
          <w:snapToGrid w:val="0"/>
          <w:sz w:val="21"/>
          <w:szCs w:val="21"/>
        </w:rPr>
      </w:pPr>
    </w:p>
    <w:p w14:paraId="6C67F712" w14:textId="77777777" w:rsidR="00A303DD" w:rsidRPr="00D62832" w:rsidRDefault="00A303DD" w:rsidP="00A303DD">
      <w:pPr>
        <w:pStyle w:val="ListParagraph"/>
        <w:widowControl w:val="0"/>
        <w:numPr>
          <w:ilvl w:val="0"/>
          <w:numId w:val="12"/>
        </w:numPr>
        <w:spacing w:line="218" w:lineRule="auto"/>
        <w:jc w:val="both"/>
        <w:rPr>
          <w:rFonts w:eastAsia="Times New Roman" w:cs="Arial"/>
          <w:b/>
          <w:snapToGrid w:val="0"/>
          <w:sz w:val="21"/>
          <w:szCs w:val="21"/>
        </w:rPr>
      </w:pPr>
      <w:r w:rsidRPr="00D62832">
        <w:rPr>
          <w:rFonts w:eastAsia="Times New Roman" w:cs="Arial"/>
          <w:b/>
          <w:snapToGrid w:val="0"/>
          <w:sz w:val="21"/>
          <w:szCs w:val="21"/>
        </w:rPr>
        <w:lastRenderedPageBreak/>
        <w:t>Archer Western Contractors, LLC (AP-22-03)</w:t>
      </w:r>
    </w:p>
    <w:p w14:paraId="6B7E60DB" w14:textId="77777777" w:rsidR="00A303DD" w:rsidRDefault="00A303DD" w:rsidP="00A303DD">
      <w:pPr>
        <w:widowControl w:val="0"/>
        <w:spacing w:line="218" w:lineRule="auto"/>
        <w:ind w:left="720"/>
        <w:jc w:val="both"/>
        <w:rPr>
          <w:rFonts w:eastAsia="Times New Roman" w:cs="Arial"/>
          <w:bCs/>
          <w:snapToGrid w:val="0"/>
          <w:sz w:val="21"/>
          <w:szCs w:val="21"/>
        </w:rPr>
      </w:pPr>
      <w:r w:rsidRPr="00D62832">
        <w:rPr>
          <w:rFonts w:eastAsia="Times New Roman" w:cs="Arial"/>
          <w:bCs/>
          <w:snapToGrid w:val="0"/>
          <w:sz w:val="21"/>
          <w:szCs w:val="21"/>
        </w:rPr>
        <w:t>Failure to conduct annual visible emissions (“VE”) compliance test by December 31, 2021 for calendar year 2021</w:t>
      </w:r>
    </w:p>
    <w:p w14:paraId="6A5690F1" w14:textId="77777777" w:rsidR="00A303DD" w:rsidRDefault="00A303DD" w:rsidP="00A303DD">
      <w:pPr>
        <w:widowControl w:val="0"/>
        <w:spacing w:line="218" w:lineRule="auto"/>
        <w:ind w:left="720"/>
        <w:jc w:val="both"/>
        <w:rPr>
          <w:rFonts w:eastAsia="Times New Roman" w:cs="Arial"/>
          <w:bCs/>
          <w:snapToGrid w:val="0"/>
          <w:sz w:val="21"/>
          <w:szCs w:val="21"/>
        </w:rPr>
      </w:pPr>
    </w:p>
    <w:p w14:paraId="1603503C" w14:textId="77777777" w:rsidR="00A303DD" w:rsidRPr="00D62832" w:rsidRDefault="00A303DD" w:rsidP="00A303DD">
      <w:pPr>
        <w:widowControl w:val="0"/>
        <w:spacing w:line="218" w:lineRule="auto"/>
        <w:ind w:left="720" w:firstLine="720"/>
        <w:jc w:val="both"/>
        <w:rPr>
          <w:rFonts w:eastAsia="Times New Roman" w:cs="Arial"/>
          <w:bCs/>
          <w:snapToGrid w:val="0"/>
          <w:sz w:val="21"/>
          <w:szCs w:val="21"/>
        </w:rPr>
      </w:pPr>
      <w:r w:rsidRPr="00D62832">
        <w:rPr>
          <w:rFonts w:eastAsia="Times New Roman" w:cs="Arial"/>
          <w:bCs/>
          <w:snapToGrid w:val="0"/>
          <w:sz w:val="21"/>
          <w:szCs w:val="21"/>
          <w:u w:val="single"/>
        </w:rPr>
        <w:t>Respondent’s corrective actions:</w:t>
      </w:r>
      <w:r>
        <w:rPr>
          <w:rFonts w:eastAsia="Times New Roman" w:cs="Arial"/>
          <w:bCs/>
          <w:snapToGrid w:val="0"/>
          <w:sz w:val="21"/>
          <w:szCs w:val="21"/>
        </w:rPr>
        <w:tab/>
      </w:r>
      <w:r w:rsidRPr="00D62832">
        <w:rPr>
          <w:rFonts w:eastAsia="Times New Roman" w:cs="Arial"/>
          <w:bCs/>
          <w:snapToGrid w:val="0"/>
          <w:sz w:val="21"/>
          <w:szCs w:val="21"/>
        </w:rPr>
        <w:t>Re-test demonstrated compliance</w:t>
      </w:r>
    </w:p>
    <w:p w14:paraId="1829C9BE" w14:textId="77777777" w:rsidR="00A303DD" w:rsidRPr="00D62832" w:rsidRDefault="00A303DD" w:rsidP="00A303DD">
      <w:pPr>
        <w:widowControl w:val="0"/>
        <w:spacing w:line="218" w:lineRule="auto"/>
        <w:ind w:left="720"/>
        <w:jc w:val="both"/>
        <w:rPr>
          <w:rFonts w:eastAsia="Times New Roman" w:cs="Arial"/>
          <w:bCs/>
          <w:snapToGrid w:val="0"/>
          <w:sz w:val="21"/>
          <w:szCs w:val="21"/>
        </w:rPr>
      </w:pPr>
    </w:p>
    <w:p w14:paraId="162D3D7E" w14:textId="77777777" w:rsidR="00A303DD" w:rsidRPr="00D62832" w:rsidRDefault="00A303DD" w:rsidP="00A303DD">
      <w:pPr>
        <w:widowControl w:val="0"/>
        <w:spacing w:line="218" w:lineRule="auto"/>
        <w:ind w:left="720" w:firstLine="720"/>
        <w:jc w:val="both"/>
        <w:rPr>
          <w:rFonts w:eastAsia="Times New Roman" w:cs="Arial"/>
          <w:bCs/>
          <w:snapToGrid w:val="0"/>
          <w:sz w:val="21"/>
          <w:szCs w:val="21"/>
        </w:rPr>
      </w:pPr>
      <w:r w:rsidRPr="00D62832">
        <w:rPr>
          <w:rFonts w:eastAsia="Times New Roman" w:cs="Arial"/>
          <w:bCs/>
          <w:snapToGrid w:val="0"/>
          <w:sz w:val="21"/>
          <w:szCs w:val="21"/>
          <w:u w:val="single"/>
        </w:rPr>
        <w:t>Consent Order settlement fee:</w:t>
      </w:r>
      <w:r w:rsidRPr="00D62832">
        <w:rPr>
          <w:rFonts w:eastAsia="Times New Roman" w:cs="Arial"/>
          <w:bCs/>
          <w:snapToGrid w:val="0"/>
          <w:sz w:val="21"/>
          <w:szCs w:val="21"/>
        </w:rPr>
        <w:tab/>
      </w:r>
      <w:r>
        <w:rPr>
          <w:rFonts w:eastAsia="Times New Roman" w:cs="Arial"/>
          <w:bCs/>
          <w:snapToGrid w:val="0"/>
          <w:sz w:val="21"/>
          <w:szCs w:val="21"/>
        </w:rPr>
        <w:tab/>
      </w:r>
      <w:r w:rsidRPr="00D62832">
        <w:rPr>
          <w:rFonts w:eastAsia="Times New Roman" w:cs="Arial"/>
          <w:b/>
          <w:snapToGrid w:val="0"/>
          <w:sz w:val="21"/>
          <w:szCs w:val="21"/>
        </w:rPr>
        <w:t>$900</w:t>
      </w:r>
    </w:p>
    <w:p w14:paraId="609CB87A" w14:textId="77777777" w:rsidR="00A303DD" w:rsidRPr="00D62832" w:rsidRDefault="00A303DD" w:rsidP="00A303DD">
      <w:pPr>
        <w:pStyle w:val="ListParagraph"/>
        <w:widowControl w:val="0"/>
        <w:numPr>
          <w:ilvl w:val="0"/>
          <w:numId w:val="14"/>
        </w:numPr>
        <w:spacing w:line="218" w:lineRule="auto"/>
        <w:jc w:val="both"/>
        <w:rPr>
          <w:rFonts w:eastAsia="Times New Roman" w:cs="Arial"/>
          <w:bCs/>
          <w:snapToGrid w:val="0"/>
          <w:sz w:val="21"/>
          <w:szCs w:val="21"/>
        </w:rPr>
      </w:pPr>
      <w:r w:rsidRPr="00D62832">
        <w:rPr>
          <w:rFonts w:eastAsia="Times New Roman" w:cs="Arial"/>
          <w:bCs/>
          <w:snapToGrid w:val="0"/>
          <w:sz w:val="21"/>
          <w:szCs w:val="21"/>
        </w:rPr>
        <w:t>Report submitted and report review documented compliance</w:t>
      </w:r>
    </w:p>
    <w:p w14:paraId="775E18E0" w14:textId="77777777" w:rsidR="00A303DD" w:rsidRPr="00D62832" w:rsidRDefault="00A303DD" w:rsidP="00A303DD">
      <w:pPr>
        <w:pStyle w:val="ListParagraph"/>
        <w:widowControl w:val="0"/>
        <w:numPr>
          <w:ilvl w:val="0"/>
          <w:numId w:val="14"/>
        </w:numPr>
        <w:spacing w:line="218" w:lineRule="auto"/>
        <w:jc w:val="both"/>
        <w:rPr>
          <w:rFonts w:eastAsia="Times New Roman" w:cs="Arial"/>
          <w:bCs/>
          <w:snapToGrid w:val="0"/>
          <w:sz w:val="21"/>
          <w:szCs w:val="21"/>
        </w:rPr>
      </w:pPr>
      <w:r w:rsidRPr="00D62832">
        <w:rPr>
          <w:rFonts w:eastAsia="Times New Roman" w:cs="Arial"/>
          <w:bCs/>
          <w:snapToGrid w:val="0"/>
          <w:sz w:val="21"/>
          <w:szCs w:val="21"/>
        </w:rPr>
        <w:t>Test conducted 3/8/202</w:t>
      </w:r>
    </w:p>
    <w:p w14:paraId="6FED538A" w14:textId="77777777" w:rsidR="00A303DD" w:rsidRPr="00D62832" w:rsidRDefault="00A303DD" w:rsidP="00A303DD">
      <w:pPr>
        <w:pStyle w:val="ListParagraph"/>
        <w:widowControl w:val="0"/>
        <w:spacing w:line="218" w:lineRule="auto"/>
        <w:ind w:left="3240" w:firstLine="360"/>
        <w:jc w:val="both"/>
        <w:rPr>
          <w:rFonts w:eastAsia="Times New Roman" w:cs="Arial"/>
          <w:bCs/>
          <w:snapToGrid w:val="0"/>
          <w:sz w:val="21"/>
          <w:szCs w:val="21"/>
        </w:rPr>
      </w:pPr>
      <w:r w:rsidRPr="00D62832">
        <w:rPr>
          <w:rFonts w:eastAsia="Times New Roman" w:cs="Arial"/>
          <w:bCs/>
          <w:snapToGrid w:val="0"/>
          <w:sz w:val="21"/>
          <w:szCs w:val="21"/>
        </w:rPr>
        <w:t>Potential for Harm – Minor, Extent of Deviation – Major</w:t>
      </w:r>
    </w:p>
    <w:p w14:paraId="7EAAD33C" w14:textId="77777777" w:rsidR="00A303DD" w:rsidRPr="00D62832" w:rsidRDefault="00A303DD" w:rsidP="00A303DD">
      <w:pPr>
        <w:widowControl w:val="0"/>
        <w:spacing w:line="218" w:lineRule="auto"/>
        <w:ind w:left="720"/>
        <w:jc w:val="both"/>
        <w:rPr>
          <w:rFonts w:eastAsia="Times New Roman" w:cs="Arial"/>
          <w:bCs/>
          <w:snapToGrid w:val="0"/>
          <w:sz w:val="21"/>
          <w:szCs w:val="21"/>
        </w:rPr>
      </w:pPr>
    </w:p>
    <w:p w14:paraId="7A76999B" w14:textId="77777777" w:rsidR="00A303DD" w:rsidRPr="00D62832" w:rsidRDefault="00A303DD" w:rsidP="00A303DD">
      <w:pPr>
        <w:widowControl w:val="0"/>
        <w:spacing w:line="218" w:lineRule="auto"/>
        <w:ind w:left="720" w:firstLine="720"/>
        <w:jc w:val="both"/>
        <w:rPr>
          <w:rFonts w:eastAsia="Times New Roman" w:cs="Arial"/>
          <w:bCs/>
          <w:snapToGrid w:val="0"/>
          <w:sz w:val="21"/>
          <w:szCs w:val="21"/>
        </w:rPr>
      </w:pPr>
      <w:r w:rsidRPr="00D62832">
        <w:rPr>
          <w:rFonts w:eastAsia="Times New Roman" w:cs="Arial"/>
          <w:bCs/>
          <w:snapToGrid w:val="0"/>
          <w:sz w:val="21"/>
          <w:szCs w:val="21"/>
          <w:u w:val="single"/>
        </w:rPr>
        <w:t>Consent Order requirements:</w:t>
      </w:r>
      <w:r w:rsidRPr="00D62832">
        <w:rPr>
          <w:rFonts w:eastAsia="Times New Roman" w:cs="Arial"/>
          <w:bCs/>
          <w:snapToGrid w:val="0"/>
          <w:sz w:val="21"/>
          <w:szCs w:val="21"/>
        </w:rPr>
        <w:tab/>
      </w:r>
      <w:r>
        <w:rPr>
          <w:rFonts w:eastAsia="Times New Roman" w:cs="Arial"/>
          <w:bCs/>
          <w:snapToGrid w:val="0"/>
          <w:sz w:val="21"/>
          <w:szCs w:val="21"/>
        </w:rPr>
        <w:tab/>
      </w:r>
      <w:r w:rsidRPr="00D62832">
        <w:rPr>
          <w:rFonts w:eastAsia="Times New Roman" w:cs="Arial"/>
          <w:bCs/>
          <w:snapToGrid w:val="0"/>
          <w:sz w:val="21"/>
          <w:szCs w:val="21"/>
        </w:rPr>
        <w:t>None</w:t>
      </w:r>
    </w:p>
    <w:p w14:paraId="6672EDFB" w14:textId="77777777" w:rsidR="00111EEB" w:rsidRPr="00111EEB" w:rsidRDefault="00111EEB" w:rsidP="00111EEB">
      <w:pPr>
        <w:pStyle w:val="ListParagraph"/>
        <w:keepNext/>
        <w:keepLines/>
        <w:spacing w:before="40"/>
        <w:ind w:left="1440"/>
        <w:outlineLvl w:val="1"/>
        <w:rPr>
          <w:rFonts w:ascii="Century Gothic" w:eastAsia="Times New Roman" w:hAnsi="Century Gothic" w:cs="Arial"/>
          <w:bCs/>
          <w:snapToGrid w:val="0"/>
          <w:sz w:val="22"/>
        </w:rPr>
      </w:pPr>
    </w:p>
    <w:p w14:paraId="0243F4D7" w14:textId="77777777" w:rsidR="008D097E" w:rsidRDefault="008D097E" w:rsidP="00A12232">
      <w:pPr>
        <w:keepNext/>
        <w:keepLines/>
        <w:spacing w:before="40"/>
        <w:ind w:firstLine="720"/>
        <w:outlineLvl w:val="1"/>
        <w:rPr>
          <w:rFonts w:ascii="Century Gothic" w:eastAsia="Calibri" w:hAnsi="Century Gothic" w:cstheme="majorBidi"/>
          <w:b/>
          <w:bCs/>
          <w:color w:val="365F91" w:themeColor="accent1" w:themeShade="BF"/>
          <w:sz w:val="22"/>
          <w:u w:val="single"/>
        </w:rPr>
      </w:pPr>
    </w:p>
    <w:p w14:paraId="5FC6715B" w14:textId="5B67BA7C" w:rsidR="00A12232" w:rsidRDefault="00A12232" w:rsidP="00A12232">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6173A2">
        <w:rPr>
          <w:rFonts w:ascii="Century Gothic" w:eastAsia="Calibri" w:hAnsi="Century Gothic" w:cstheme="majorBidi"/>
          <w:b/>
          <w:bCs/>
          <w:color w:val="365F91" w:themeColor="accent1" w:themeShade="BF"/>
          <w:sz w:val="22"/>
          <w:u w:val="single"/>
        </w:rPr>
        <w:t>Water</w:t>
      </w:r>
    </w:p>
    <w:p w14:paraId="356A08D5" w14:textId="77777777" w:rsidR="0027408B" w:rsidRPr="006173A2" w:rsidRDefault="0027408B" w:rsidP="00A12232">
      <w:pPr>
        <w:keepNext/>
        <w:keepLines/>
        <w:spacing w:before="40"/>
        <w:ind w:firstLine="720"/>
        <w:outlineLvl w:val="1"/>
        <w:rPr>
          <w:rFonts w:ascii="Century Gothic" w:eastAsia="Calibri" w:hAnsi="Century Gothic" w:cstheme="majorBidi"/>
          <w:b/>
          <w:bCs/>
          <w:color w:val="365F91" w:themeColor="accent1" w:themeShade="BF"/>
          <w:sz w:val="22"/>
          <w:u w:val="single"/>
        </w:rPr>
      </w:pPr>
    </w:p>
    <w:p w14:paraId="3B066D26" w14:textId="77777777" w:rsidR="00A303DD" w:rsidRPr="009306DB" w:rsidRDefault="00A303DD" w:rsidP="00A303DD">
      <w:pPr>
        <w:pStyle w:val="ListParagraph"/>
        <w:numPr>
          <w:ilvl w:val="0"/>
          <w:numId w:val="12"/>
        </w:numPr>
        <w:spacing w:line="218" w:lineRule="auto"/>
        <w:rPr>
          <w:rFonts w:cs="Arial"/>
          <w:bCs/>
          <w:sz w:val="21"/>
          <w:szCs w:val="21"/>
        </w:rPr>
      </w:pPr>
      <w:r w:rsidRPr="009306DB">
        <w:rPr>
          <w:rFonts w:cs="Arial"/>
          <w:b/>
          <w:sz w:val="21"/>
          <w:szCs w:val="21"/>
        </w:rPr>
        <w:t xml:space="preserve">Jacksonville Alliance for Kipp Schools, Inc., Summit Construction Management Group, LLC, and Jax Dirtworks, Inc. (WP-21-70) - </w:t>
      </w:r>
      <w:r w:rsidRPr="009306DB">
        <w:rPr>
          <w:rFonts w:cs="Arial"/>
          <w:bCs/>
          <w:sz w:val="21"/>
          <w:szCs w:val="21"/>
        </w:rPr>
        <w:t>Unlawful discharge of non-stormwater and turbid water to City separate stormwater sewer system (“MS4”); Failure to comply with erosion and sediment control requirements</w:t>
      </w:r>
    </w:p>
    <w:p w14:paraId="00961CB5" w14:textId="77777777" w:rsidR="00A303DD" w:rsidRDefault="00A303DD" w:rsidP="00A303DD">
      <w:pPr>
        <w:spacing w:line="218" w:lineRule="auto"/>
        <w:rPr>
          <w:rFonts w:cs="Arial"/>
          <w:bCs/>
          <w:sz w:val="21"/>
          <w:szCs w:val="21"/>
        </w:rPr>
      </w:pPr>
    </w:p>
    <w:p w14:paraId="19D7ED53" w14:textId="77777777" w:rsidR="00A303DD" w:rsidRPr="00AF4AF3" w:rsidRDefault="00A303DD" w:rsidP="00A303DD">
      <w:pPr>
        <w:spacing w:line="218" w:lineRule="auto"/>
        <w:ind w:left="5040" w:hanging="3600"/>
        <w:rPr>
          <w:rFonts w:cs="Arial"/>
          <w:bCs/>
          <w:sz w:val="21"/>
          <w:szCs w:val="21"/>
        </w:rPr>
      </w:pPr>
      <w:r w:rsidRPr="00AF4AF3">
        <w:rPr>
          <w:rFonts w:cs="Arial"/>
          <w:bCs/>
          <w:sz w:val="21"/>
          <w:szCs w:val="21"/>
          <w:u w:val="single"/>
        </w:rPr>
        <w:t>Respondent’s corrective actions:</w:t>
      </w:r>
      <w:r>
        <w:rPr>
          <w:rFonts w:cs="Arial"/>
          <w:bCs/>
          <w:sz w:val="21"/>
          <w:szCs w:val="21"/>
        </w:rPr>
        <w:tab/>
      </w:r>
      <w:r w:rsidRPr="00AF4AF3">
        <w:rPr>
          <w:rFonts w:cs="Arial"/>
          <w:bCs/>
          <w:sz w:val="21"/>
          <w:szCs w:val="21"/>
        </w:rPr>
        <w:t>Initial BMP Assessment provided with Citation response</w:t>
      </w:r>
    </w:p>
    <w:p w14:paraId="0BB84B05" w14:textId="77777777" w:rsidR="00A303DD" w:rsidRPr="00AF4AF3" w:rsidRDefault="00A303DD" w:rsidP="00A303DD">
      <w:pPr>
        <w:spacing w:line="218" w:lineRule="auto"/>
        <w:rPr>
          <w:rFonts w:cs="Arial"/>
          <w:bCs/>
          <w:sz w:val="21"/>
          <w:szCs w:val="21"/>
        </w:rPr>
      </w:pPr>
    </w:p>
    <w:p w14:paraId="3822B0D5" w14:textId="77777777" w:rsidR="00A303DD" w:rsidRPr="00AF4AF3" w:rsidRDefault="00A303DD" w:rsidP="00A303DD">
      <w:pPr>
        <w:spacing w:line="218" w:lineRule="auto"/>
        <w:ind w:left="720" w:firstLine="720"/>
        <w:rPr>
          <w:rFonts w:cs="Arial"/>
          <w:bCs/>
          <w:sz w:val="21"/>
          <w:szCs w:val="21"/>
        </w:rPr>
      </w:pPr>
      <w:r w:rsidRPr="00AF4AF3">
        <w:rPr>
          <w:rFonts w:cs="Arial"/>
          <w:bCs/>
          <w:sz w:val="21"/>
          <w:szCs w:val="21"/>
          <w:u w:val="single"/>
        </w:rPr>
        <w:t>Consent Order settlement fee:</w:t>
      </w:r>
      <w:r w:rsidRPr="00AF4AF3">
        <w:rPr>
          <w:rFonts w:cs="Arial"/>
          <w:bCs/>
          <w:sz w:val="21"/>
          <w:szCs w:val="21"/>
        </w:rPr>
        <w:tab/>
      </w:r>
      <w:r>
        <w:rPr>
          <w:rFonts w:cs="Arial"/>
          <w:bCs/>
          <w:sz w:val="21"/>
          <w:szCs w:val="21"/>
        </w:rPr>
        <w:tab/>
      </w:r>
      <w:r w:rsidRPr="00AF4AF3">
        <w:rPr>
          <w:rFonts w:cs="Arial"/>
          <w:b/>
          <w:sz w:val="21"/>
          <w:szCs w:val="21"/>
        </w:rPr>
        <w:t>$2,300</w:t>
      </w:r>
    </w:p>
    <w:p w14:paraId="25E6AB71" w14:textId="77777777" w:rsidR="00A303DD" w:rsidRPr="00AF4AF3" w:rsidRDefault="00A303DD" w:rsidP="00A303DD">
      <w:pPr>
        <w:pStyle w:val="ListParagraph"/>
        <w:numPr>
          <w:ilvl w:val="0"/>
          <w:numId w:val="15"/>
        </w:numPr>
        <w:spacing w:line="218" w:lineRule="auto"/>
        <w:rPr>
          <w:rFonts w:cs="Arial"/>
          <w:bCs/>
          <w:sz w:val="21"/>
          <w:szCs w:val="21"/>
        </w:rPr>
      </w:pPr>
      <w:r w:rsidRPr="00AF4AF3">
        <w:rPr>
          <w:rFonts w:cs="Arial"/>
          <w:bCs/>
          <w:sz w:val="21"/>
          <w:szCs w:val="21"/>
        </w:rPr>
        <w:t>12/8/2021</w:t>
      </w:r>
      <w:r w:rsidRPr="00AF4AF3">
        <w:rPr>
          <w:rFonts w:cs="Arial"/>
          <w:bCs/>
          <w:sz w:val="21"/>
          <w:szCs w:val="21"/>
        </w:rPr>
        <w:tab/>
        <w:t>Insufficient BMPs/failure to maintain BMPs resulting in unlawful discharge of non-stormwater and turbid water to MS4 from a dewatering discharge hose placed directly at the MS4</w:t>
      </w:r>
    </w:p>
    <w:p w14:paraId="1D4BD7EF" w14:textId="77777777" w:rsidR="00A303DD" w:rsidRPr="00AF4AF3" w:rsidRDefault="00A303DD" w:rsidP="00A303DD">
      <w:pPr>
        <w:pStyle w:val="ListParagraph"/>
        <w:numPr>
          <w:ilvl w:val="0"/>
          <w:numId w:val="15"/>
        </w:numPr>
        <w:spacing w:line="218" w:lineRule="auto"/>
        <w:rPr>
          <w:rFonts w:cs="Arial"/>
          <w:bCs/>
          <w:sz w:val="21"/>
          <w:szCs w:val="21"/>
        </w:rPr>
      </w:pPr>
      <w:r w:rsidRPr="00AF4AF3">
        <w:rPr>
          <w:rFonts w:cs="Arial"/>
          <w:bCs/>
          <w:sz w:val="21"/>
          <w:szCs w:val="21"/>
        </w:rPr>
        <w:t>Sample at point of discharge from the Project to MS4 – 70 NTUs</w:t>
      </w:r>
    </w:p>
    <w:p w14:paraId="01A7A30D" w14:textId="77777777" w:rsidR="00A303DD" w:rsidRPr="00AF4AF3" w:rsidRDefault="00A303DD" w:rsidP="00A303DD">
      <w:pPr>
        <w:pStyle w:val="ListParagraph"/>
        <w:numPr>
          <w:ilvl w:val="0"/>
          <w:numId w:val="15"/>
        </w:numPr>
        <w:spacing w:line="218" w:lineRule="auto"/>
        <w:rPr>
          <w:rFonts w:cs="Arial"/>
          <w:bCs/>
          <w:sz w:val="21"/>
          <w:szCs w:val="21"/>
        </w:rPr>
      </w:pPr>
      <w:r w:rsidRPr="00AF4AF3">
        <w:rPr>
          <w:rFonts w:cs="Arial"/>
          <w:bCs/>
          <w:sz w:val="21"/>
          <w:szCs w:val="21"/>
        </w:rPr>
        <w:t>Sample upstream of the Project drainage flows and in the MS4 – 1.5 NTUs</w:t>
      </w:r>
    </w:p>
    <w:p w14:paraId="1726D82E" w14:textId="77777777" w:rsidR="00A303DD" w:rsidRPr="00AF4AF3" w:rsidRDefault="00A303DD" w:rsidP="00A303DD">
      <w:pPr>
        <w:pStyle w:val="ListParagraph"/>
        <w:numPr>
          <w:ilvl w:val="0"/>
          <w:numId w:val="15"/>
        </w:numPr>
        <w:spacing w:line="218" w:lineRule="auto"/>
        <w:rPr>
          <w:rFonts w:cs="Arial"/>
          <w:bCs/>
          <w:sz w:val="21"/>
          <w:szCs w:val="21"/>
        </w:rPr>
      </w:pPr>
      <w:r w:rsidRPr="00AF4AF3">
        <w:rPr>
          <w:rFonts w:cs="Arial"/>
          <w:bCs/>
          <w:sz w:val="21"/>
          <w:szCs w:val="21"/>
        </w:rPr>
        <w:t>State water quality standards for turbidity is &lt;29 NTUs above natural background [allowed 30.5 NTU]</w:t>
      </w:r>
    </w:p>
    <w:p w14:paraId="484027DD" w14:textId="77777777" w:rsidR="00A303DD" w:rsidRPr="00AF4AF3" w:rsidRDefault="00A303DD" w:rsidP="00A303DD">
      <w:pPr>
        <w:pStyle w:val="ListParagraph"/>
        <w:spacing w:line="218" w:lineRule="auto"/>
        <w:ind w:left="3600"/>
        <w:rPr>
          <w:rFonts w:cs="Arial"/>
          <w:bCs/>
          <w:sz w:val="21"/>
          <w:szCs w:val="21"/>
        </w:rPr>
      </w:pPr>
      <w:r w:rsidRPr="00AF4AF3">
        <w:rPr>
          <w:rFonts w:cs="Arial"/>
          <w:bCs/>
          <w:sz w:val="21"/>
          <w:szCs w:val="21"/>
        </w:rPr>
        <w:t>Potential for Harm – Moderate: Discharge of nonstormwater or turbid discharge to MS4</w:t>
      </w:r>
    </w:p>
    <w:p w14:paraId="604635BE" w14:textId="77777777" w:rsidR="00A303DD" w:rsidRPr="00AF4AF3" w:rsidRDefault="00A303DD" w:rsidP="00A303DD">
      <w:pPr>
        <w:pStyle w:val="ListParagraph"/>
        <w:spacing w:line="218" w:lineRule="auto"/>
        <w:ind w:left="3600"/>
        <w:rPr>
          <w:rFonts w:cs="Arial"/>
          <w:bCs/>
          <w:sz w:val="21"/>
          <w:szCs w:val="21"/>
        </w:rPr>
      </w:pPr>
      <w:r w:rsidRPr="00AF4AF3">
        <w:rPr>
          <w:rFonts w:cs="Arial"/>
          <w:bCs/>
          <w:sz w:val="21"/>
          <w:szCs w:val="21"/>
        </w:rPr>
        <w:t>Extent of Deviation – Moderate: Direct discharge to MS4 with sampling results of 130% to 170% and above over standard</w:t>
      </w:r>
    </w:p>
    <w:p w14:paraId="0088A420" w14:textId="77777777" w:rsidR="00A303DD" w:rsidRPr="00AF4AF3" w:rsidRDefault="00A303DD" w:rsidP="00A303DD">
      <w:pPr>
        <w:spacing w:line="218" w:lineRule="auto"/>
        <w:rPr>
          <w:rFonts w:cs="Arial"/>
          <w:bCs/>
          <w:sz w:val="21"/>
          <w:szCs w:val="21"/>
        </w:rPr>
      </w:pPr>
    </w:p>
    <w:p w14:paraId="150D1AE5" w14:textId="77777777" w:rsidR="00A303DD" w:rsidRPr="00AF4AF3" w:rsidRDefault="00A303DD" w:rsidP="00A303DD">
      <w:pPr>
        <w:spacing w:line="218" w:lineRule="auto"/>
        <w:ind w:left="5040" w:hanging="3600"/>
        <w:rPr>
          <w:rFonts w:cs="Arial"/>
          <w:bCs/>
          <w:sz w:val="21"/>
          <w:szCs w:val="21"/>
        </w:rPr>
      </w:pPr>
      <w:r w:rsidRPr="00AF4AF3">
        <w:rPr>
          <w:rFonts w:cs="Arial"/>
          <w:bCs/>
          <w:sz w:val="21"/>
          <w:szCs w:val="21"/>
          <w:u w:val="single"/>
        </w:rPr>
        <w:t>Consent Order requirements:</w:t>
      </w:r>
      <w:r w:rsidRPr="00AF4AF3">
        <w:rPr>
          <w:rFonts w:cs="Arial"/>
          <w:bCs/>
          <w:sz w:val="21"/>
          <w:szCs w:val="21"/>
        </w:rPr>
        <w:tab/>
        <w:t>Immediately upon the effective date: Monitor, sample, notify EQD and report to EQD until Final Stabilization</w:t>
      </w:r>
    </w:p>
    <w:p w14:paraId="32CD90AB" w14:textId="77777777" w:rsidR="00A303DD" w:rsidRPr="00AF4AF3" w:rsidRDefault="00A303DD" w:rsidP="00A303DD">
      <w:pPr>
        <w:spacing w:line="218" w:lineRule="auto"/>
        <w:ind w:left="5040"/>
        <w:rPr>
          <w:rFonts w:cs="Arial"/>
          <w:bCs/>
          <w:sz w:val="21"/>
          <w:szCs w:val="21"/>
        </w:rPr>
      </w:pPr>
      <w:r w:rsidRPr="00AF4AF3">
        <w:rPr>
          <w:rFonts w:cs="Arial"/>
          <w:bCs/>
          <w:sz w:val="21"/>
          <w:szCs w:val="21"/>
        </w:rPr>
        <w:t>Within 14 days of the effective date: Perform/Revise BMP Assessment</w:t>
      </w:r>
    </w:p>
    <w:p w14:paraId="1333CE6C" w14:textId="77777777" w:rsidR="00A303DD" w:rsidRPr="00AF4AF3" w:rsidRDefault="00A303DD" w:rsidP="00A303DD">
      <w:pPr>
        <w:spacing w:line="218" w:lineRule="auto"/>
        <w:ind w:left="5040"/>
        <w:rPr>
          <w:rFonts w:cs="Arial"/>
          <w:bCs/>
          <w:sz w:val="21"/>
          <w:szCs w:val="21"/>
        </w:rPr>
      </w:pPr>
      <w:r w:rsidRPr="00AF4AF3">
        <w:rPr>
          <w:rFonts w:cs="Arial"/>
          <w:bCs/>
          <w:sz w:val="21"/>
          <w:szCs w:val="21"/>
        </w:rPr>
        <w:t>Within 21 days of the effective date: Submit BMP Assessment to EQD</w:t>
      </w:r>
    </w:p>
    <w:p w14:paraId="4582BC58" w14:textId="77777777" w:rsidR="00A303DD" w:rsidRPr="00AF4AF3" w:rsidRDefault="00A303DD" w:rsidP="00A303DD">
      <w:pPr>
        <w:spacing w:line="218" w:lineRule="auto"/>
        <w:ind w:left="5040"/>
        <w:rPr>
          <w:rFonts w:cs="Arial"/>
          <w:bCs/>
          <w:sz w:val="21"/>
          <w:szCs w:val="21"/>
        </w:rPr>
      </w:pPr>
      <w:r w:rsidRPr="00AF4AF3">
        <w:rPr>
          <w:rFonts w:cs="Arial"/>
          <w:bCs/>
          <w:sz w:val="21"/>
          <w:szCs w:val="21"/>
        </w:rPr>
        <w:t>Within 28 days of the effective date: Implement BMP Assessment</w:t>
      </w:r>
    </w:p>
    <w:p w14:paraId="43805984" w14:textId="77777777" w:rsidR="00A303DD" w:rsidRDefault="00A303DD" w:rsidP="00A303DD">
      <w:pPr>
        <w:spacing w:line="218" w:lineRule="auto"/>
        <w:rPr>
          <w:rFonts w:cs="Arial"/>
          <w:bCs/>
          <w:sz w:val="21"/>
          <w:szCs w:val="21"/>
        </w:rPr>
      </w:pPr>
    </w:p>
    <w:p w14:paraId="2DF70182" w14:textId="581AD5EA" w:rsidR="00A303DD" w:rsidRDefault="00A303DD" w:rsidP="00A303DD">
      <w:pPr>
        <w:spacing w:line="218" w:lineRule="auto"/>
        <w:rPr>
          <w:rFonts w:cs="Arial"/>
          <w:bCs/>
          <w:sz w:val="21"/>
          <w:szCs w:val="21"/>
        </w:rPr>
      </w:pPr>
    </w:p>
    <w:p w14:paraId="188D49E7" w14:textId="7F58D8DD" w:rsidR="00A303DD" w:rsidRDefault="00A303DD" w:rsidP="00A303DD">
      <w:pPr>
        <w:spacing w:line="218" w:lineRule="auto"/>
        <w:rPr>
          <w:rFonts w:cs="Arial"/>
          <w:bCs/>
          <w:sz w:val="21"/>
          <w:szCs w:val="21"/>
        </w:rPr>
      </w:pPr>
    </w:p>
    <w:p w14:paraId="0E848E19" w14:textId="0E4C19A5" w:rsidR="00A303DD" w:rsidRDefault="00A303DD" w:rsidP="00A303DD">
      <w:pPr>
        <w:spacing w:line="218" w:lineRule="auto"/>
        <w:rPr>
          <w:rFonts w:cs="Arial"/>
          <w:bCs/>
          <w:sz w:val="21"/>
          <w:szCs w:val="21"/>
        </w:rPr>
      </w:pPr>
    </w:p>
    <w:p w14:paraId="18808A23" w14:textId="1640273A" w:rsidR="00A303DD" w:rsidRDefault="00A303DD" w:rsidP="00A303DD">
      <w:pPr>
        <w:spacing w:line="218" w:lineRule="auto"/>
        <w:rPr>
          <w:rFonts w:cs="Arial"/>
          <w:bCs/>
          <w:sz w:val="21"/>
          <w:szCs w:val="21"/>
        </w:rPr>
      </w:pPr>
    </w:p>
    <w:p w14:paraId="362D8CA0" w14:textId="0C78A494" w:rsidR="00A303DD" w:rsidRDefault="00A303DD" w:rsidP="00A303DD">
      <w:pPr>
        <w:spacing w:line="218" w:lineRule="auto"/>
        <w:rPr>
          <w:rFonts w:cs="Arial"/>
          <w:bCs/>
          <w:sz w:val="21"/>
          <w:szCs w:val="21"/>
        </w:rPr>
      </w:pPr>
    </w:p>
    <w:p w14:paraId="0B4E7C10" w14:textId="5CFA316D" w:rsidR="00A303DD" w:rsidRDefault="00A303DD" w:rsidP="00A303DD">
      <w:pPr>
        <w:spacing w:line="218" w:lineRule="auto"/>
        <w:rPr>
          <w:rFonts w:cs="Arial"/>
          <w:bCs/>
          <w:sz w:val="21"/>
          <w:szCs w:val="21"/>
        </w:rPr>
      </w:pPr>
    </w:p>
    <w:p w14:paraId="0547049C" w14:textId="10887844" w:rsidR="00A303DD" w:rsidRDefault="00A303DD" w:rsidP="00A303DD">
      <w:pPr>
        <w:spacing w:line="218" w:lineRule="auto"/>
        <w:rPr>
          <w:rFonts w:cs="Arial"/>
          <w:bCs/>
          <w:sz w:val="21"/>
          <w:szCs w:val="21"/>
        </w:rPr>
      </w:pPr>
    </w:p>
    <w:p w14:paraId="5E7A86E4" w14:textId="1D95CFE4" w:rsidR="00A303DD" w:rsidRDefault="00A303DD" w:rsidP="00A303DD">
      <w:pPr>
        <w:spacing w:line="218" w:lineRule="auto"/>
        <w:rPr>
          <w:rFonts w:cs="Arial"/>
          <w:bCs/>
          <w:sz w:val="21"/>
          <w:szCs w:val="21"/>
        </w:rPr>
      </w:pPr>
    </w:p>
    <w:p w14:paraId="1755295C" w14:textId="77777777" w:rsidR="00A303DD" w:rsidRPr="003A3761" w:rsidRDefault="00A303DD" w:rsidP="00A303DD">
      <w:pPr>
        <w:spacing w:line="218" w:lineRule="auto"/>
        <w:rPr>
          <w:rFonts w:cs="Arial"/>
          <w:bCs/>
          <w:sz w:val="21"/>
          <w:szCs w:val="21"/>
        </w:rPr>
      </w:pPr>
    </w:p>
    <w:p w14:paraId="7801A8EC" w14:textId="77777777" w:rsidR="00A303DD" w:rsidRDefault="00A303DD" w:rsidP="00A303DD">
      <w:pPr>
        <w:pStyle w:val="ListParagraph"/>
        <w:numPr>
          <w:ilvl w:val="0"/>
          <w:numId w:val="12"/>
        </w:numPr>
        <w:spacing w:line="218" w:lineRule="auto"/>
        <w:rPr>
          <w:rFonts w:cs="Arial"/>
          <w:bCs/>
          <w:sz w:val="21"/>
          <w:szCs w:val="21"/>
        </w:rPr>
      </w:pPr>
      <w:r w:rsidRPr="009306DB">
        <w:rPr>
          <w:rFonts w:cs="Arial"/>
          <w:b/>
          <w:sz w:val="21"/>
          <w:szCs w:val="21"/>
        </w:rPr>
        <w:lastRenderedPageBreak/>
        <w:t xml:space="preserve">JEA and The Kenton Group, Inc. d/b/a Baldwin’s Quality Plumbing (WP-21-67) - </w:t>
      </w:r>
      <w:r w:rsidRPr="009306DB">
        <w:rPr>
          <w:rFonts w:cs="Arial"/>
          <w:bCs/>
          <w:sz w:val="21"/>
          <w:szCs w:val="21"/>
        </w:rPr>
        <w:t>Unlawful discharge of non-stormwater, including but not limited to sediment, to City separate storm sewer system (“MS4”); Failure to comply with erosion and sediment control requirements</w:t>
      </w:r>
    </w:p>
    <w:p w14:paraId="72BA579F" w14:textId="77777777" w:rsidR="00A303DD" w:rsidRDefault="00A303DD" w:rsidP="00A303DD">
      <w:pPr>
        <w:spacing w:line="218" w:lineRule="auto"/>
        <w:rPr>
          <w:rFonts w:cs="Arial"/>
          <w:bCs/>
          <w:sz w:val="21"/>
          <w:szCs w:val="21"/>
        </w:rPr>
      </w:pPr>
    </w:p>
    <w:p w14:paraId="71C0728F" w14:textId="77777777" w:rsidR="00A303DD" w:rsidRPr="00DA51CD" w:rsidRDefault="00A303DD" w:rsidP="00A303DD">
      <w:pPr>
        <w:spacing w:line="218" w:lineRule="auto"/>
        <w:ind w:left="5040" w:hanging="3600"/>
        <w:rPr>
          <w:rFonts w:cs="Arial"/>
          <w:bCs/>
          <w:sz w:val="21"/>
          <w:szCs w:val="21"/>
        </w:rPr>
      </w:pPr>
      <w:r w:rsidRPr="00DA51CD">
        <w:rPr>
          <w:rFonts w:cs="Arial"/>
          <w:bCs/>
          <w:sz w:val="21"/>
          <w:szCs w:val="21"/>
          <w:u w:val="single"/>
        </w:rPr>
        <w:t>Respondent’s corrective actions:</w:t>
      </w:r>
      <w:r>
        <w:rPr>
          <w:rFonts w:cs="Arial"/>
          <w:bCs/>
          <w:sz w:val="21"/>
          <w:szCs w:val="21"/>
        </w:rPr>
        <w:tab/>
      </w:r>
      <w:r w:rsidRPr="00DA51CD">
        <w:rPr>
          <w:rFonts w:cs="Arial"/>
          <w:bCs/>
          <w:sz w:val="21"/>
          <w:szCs w:val="21"/>
        </w:rPr>
        <w:t>BMP Assessment provided with Citation response</w:t>
      </w:r>
    </w:p>
    <w:p w14:paraId="7EF7C544" w14:textId="77777777" w:rsidR="00A303DD" w:rsidRPr="00DA51CD" w:rsidRDefault="00A303DD" w:rsidP="00A303DD">
      <w:pPr>
        <w:spacing w:line="218" w:lineRule="auto"/>
        <w:rPr>
          <w:rFonts w:cs="Arial"/>
          <w:bCs/>
          <w:sz w:val="21"/>
          <w:szCs w:val="21"/>
        </w:rPr>
      </w:pPr>
    </w:p>
    <w:p w14:paraId="0257C282" w14:textId="77777777" w:rsidR="00A303DD" w:rsidRPr="00DA51CD" w:rsidRDefault="00A303DD" w:rsidP="00A303DD">
      <w:pPr>
        <w:spacing w:line="218" w:lineRule="auto"/>
        <w:ind w:left="720" w:firstLine="720"/>
        <w:rPr>
          <w:rFonts w:cs="Arial"/>
          <w:bCs/>
          <w:sz w:val="21"/>
          <w:szCs w:val="21"/>
        </w:rPr>
      </w:pPr>
      <w:r w:rsidRPr="00DA51CD">
        <w:rPr>
          <w:rFonts w:cs="Arial"/>
          <w:bCs/>
          <w:sz w:val="21"/>
          <w:szCs w:val="21"/>
          <w:u w:val="single"/>
        </w:rPr>
        <w:t>Consent Order settlement fee:</w:t>
      </w:r>
      <w:r w:rsidRPr="00DA51CD">
        <w:rPr>
          <w:rFonts w:cs="Arial"/>
          <w:bCs/>
          <w:sz w:val="21"/>
          <w:szCs w:val="21"/>
        </w:rPr>
        <w:tab/>
      </w:r>
      <w:r>
        <w:rPr>
          <w:rFonts w:cs="Arial"/>
          <w:bCs/>
          <w:sz w:val="21"/>
          <w:szCs w:val="21"/>
        </w:rPr>
        <w:tab/>
      </w:r>
      <w:r w:rsidRPr="00DA51CD">
        <w:rPr>
          <w:rFonts w:cs="Arial"/>
          <w:b/>
          <w:sz w:val="21"/>
          <w:szCs w:val="21"/>
        </w:rPr>
        <w:t>$3,000</w:t>
      </w:r>
    </w:p>
    <w:p w14:paraId="7BCDB1FD" w14:textId="77777777" w:rsidR="00A303DD" w:rsidRPr="00DA51CD" w:rsidRDefault="00A303DD" w:rsidP="00A303DD">
      <w:pPr>
        <w:spacing w:line="218" w:lineRule="auto"/>
        <w:ind w:left="3600" w:hanging="1440"/>
        <w:rPr>
          <w:rFonts w:cs="Arial"/>
          <w:bCs/>
          <w:sz w:val="21"/>
          <w:szCs w:val="21"/>
        </w:rPr>
      </w:pPr>
      <w:r w:rsidRPr="00DA51CD">
        <w:rPr>
          <w:rFonts w:cs="Arial"/>
          <w:bCs/>
          <w:sz w:val="21"/>
          <w:szCs w:val="21"/>
        </w:rPr>
        <w:t>8/26/2021</w:t>
      </w:r>
      <w:r w:rsidRPr="00DA51CD">
        <w:rPr>
          <w:rFonts w:cs="Arial"/>
          <w:bCs/>
          <w:sz w:val="21"/>
          <w:szCs w:val="21"/>
        </w:rPr>
        <w:tab/>
        <w:t>EQD inspection documented insufficient BMPs at some MS4 with failure to maintain BMPs, and no BMPs at other MS4 inlets resulting in the direct discharge of non-stormwater (sediment and debris) to MS4</w:t>
      </w:r>
    </w:p>
    <w:p w14:paraId="1D324308" w14:textId="77777777" w:rsidR="00A303DD" w:rsidRPr="00DA51CD" w:rsidRDefault="00A303DD" w:rsidP="00A303DD">
      <w:pPr>
        <w:spacing w:line="218" w:lineRule="auto"/>
        <w:ind w:left="4320"/>
        <w:rPr>
          <w:rFonts w:cs="Arial"/>
          <w:bCs/>
          <w:sz w:val="21"/>
          <w:szCs w:val="21"/>
        </w:rPr>
      </w:pPr>
      <w:r w:rsidRPr="00DA51CD">
        <w:rPr>
          <w:rFonts w:cs="Arial"/>
          <w:bCs/>
          <w:sz w:val="21"/>
          <w:szCs w:val="21"/>
        </w:rPr>
        <w:t>Moderate Potential for Harm - Discharge of nonstormwater or turbid discharge to MS4</w:t>
      </w:r>
    </w:p>
    <w:p w14:paraId="2C4247B9" w14:textId="77777777" w:rsidR="00A303DD" w:rsidRPr="00DA51CD" w:rsidRDefault="00A303DD" w:rsidP="00A303DD">
      <w:pPr>
        <w:spacing w:line="218" w:lineRule="auto"/>
        <w:ind w:left="4320"/>
        <w:rPr>
          <w:rFonts w:cs="Arial"/>
          <w:bCs/>
          <w:sz w:val="21"/>
          <w:szCs w:val="21"/>
        </w:rPr>
      </w:pPr>
      <w:r w:rsidRPr="00DA51CD">
        <w:rPr>
          <w:rFonts w:cs="Arial"/>
          <w:bCs/>
          <w:sz w:val="21"/>
          <w:szCs w:val="21"/>
        </w:rPr>
        <w:t>Minor Extent of Deviation - Discharge of nonstormwater to MS4 or turbid discharges to MS4 with sampling results less than 130% and with little possibility of runoff reaching surface water or wetland</w:t>
      </w:r>
    </w:p>
    <w:p w14:paraId="05C6586E" w14:textId="77777777" w:rsidR="00A303DD" w:rsidRPr="00DA51CD" w:rsidRDefault="00A303DD" w:rsidP="00A303DD">
      <w:pPr>
        <w:spacing w:line="218" w:lineRule="auto"/>
        <w:ind w:left="3600" w:firstLine="720"/>
        <w:rPr>
          <w:rFonts w:cs="Arial"/>
          <w:bCs/>
          <w:sz w:val="21"/>
          <w:szCs w:val="21"/>
        </w:rPr>
      </w:pPr>
      <w:r w:rsidRPr="00DA51CD">
        <w:rPr>
          <w:rFonts w:cs="Arial"/>
          <w:bCs/>
          <w:sz w:val="21"/>
          <w:szCs w:val="21"/>
        </w:rPr>
        <w:t>$1,500</w:t>
      </w:r>
    </w:p>
    <w:p w14:paraId="253B2DBC" w14:textId="77777777" w:rsidR="00A303DD" w:rsidRPr="00DA51CD" w:rsidRDefault="00A303DD" w:rsidP="00A303DD">
      <w:pPr>
        <w:spacing w:line="218" w:lineRule="auto"/>
        <w:ind w:left="3600" w:hanging="1440"/>
        <w:rPr>
          <w:rFonts w:cs="Arial"/>
          <w:bCs/>
          <w:sz w:val="21"/>
          <w:szCs w:val="21"/>
        </w:rPr>
      </w:pPr>
      <w:r w:rsidRPr="00DA51CD">
        <w:rPr>
          <w:rFonts w:cs="Arial"/>
          <w:bCs/>
          <w:sz w:val="21"/>
          <w:szCs w:val="21"/>
        </w:rPr>
        <w:t>9/9/2021</w:t>
      </w:r>
      <w:r w:rsidRPr="00DA51CD">
        <w:rPr>
          <w:rFonts w:cs="Arial"/>
          <w:bCs/>
          <w:sz w:val="21"/>
          <w:szCs w:val="21"/>
        </w:rPr>
        <w:tab/>
        <w:t>Contractor response email to Notice to Correct - corrective actions performed</w:t>
      </w:r>
    </w:p>
    <w:p w14:paraId="6A563A7E" w14:textId="77777777" w:rsidR="00A303DD" w:rsidRPr="00DA51CD" w:rsidRDefault="00A303DD" w:rsidP="00A303DD">
      <w:pPr>
        <w:spacing w:line="218" w:lineRule="auto"/>
        <w:ind w:left="3600" w:hanging="1440"/>
        <w:rPr>
          <w:rFonts w:cs="Arial"/>
          <w:bCs/>
          <w:sz w:val="21"/>
          <w:szCs w:val="21"/>
        </w:rPr>
      </w:pPr>
      <w:r w:rsidRPr="00DA51CD">
        <w:rPr>
          <w:rFonts w:cs="Arial"/>
          <w:bCs/>
          <w:sz w:val="21"/>
          <w:szCs w:val="21"/>
        </w:rPr>
        <w:t>9/10/2021</w:t>
      </w:r>
      <w:r w:rsidRPr="00DA51CD">
        <w:rPr>
          <w:rFonts w:cs="Arial"/>
          <w:bCs/>
          <w:sz w:val="21"/>
          <w:szCs w:val="21"/>
        </w:rPr>
        <w:tab/>
        <w:t>EQD inspection documented insufficient BMPs/failure to maintain BMPs resulting in the direct discharge of non-stormwater (sediment and debris) to MS4</w:t>
      </w:r>
    </w:p>
    <w:p w14:paraId="090EF2A1" w14:textId="77777777" w:rsidR="00A303DD" w:rsidRPr="00DA51CD" w:rsidRDefault="00A303DD" w:rsidP="00A303DD">
      <w:pPr>
        <w:spacing w:line="218" w:lineRule="auto"/>
        <w:ind w:left="4320"/>
        <w:rPr>
          <w:rFonts w:cs="Arial"/>
          <w:bCs/>
          <w:sz w:val="21"/>
          <w:szCs w:val="21"/>
        </w:rPr>
      </w:pPr>
      <w:r w:rsidRPr="00DA51CD">
        <w:rPr>
          <w:rFonts w:cs="Arial"/>
          <w:bCs/>
          <w:sz w:val="21"/>
          <w:szCs w:val="21"/>
        </w:rPr>
        <w:t>Moderate Potential for Harm - Discharge of nonstormwater or turbid discharge to MS4</w:t>
      </w:r>
    </w:p>
    <w:p w14:paraId="1D7ED1D3" w14:textId="77777777" w:rsidR="00A303DD" w:rsidRPr="00DA51CD" w:rsidRDefault="00A303DD" w:rsidP="00A303DD">
      <w:pPr>
        <w:spacing w:line="218" w:lineRule="auto"/>
        <w:ind w:left="4320"/>
        <w:rPr>
          <w:rFonts w:cs="Arial"/>
          <w:bCs/>
          <w:sz w:val="21"/>
          <w:szCs w:val="21"/>
        </w:rPr>
      </w:pPr>
      <w:r w:rsidRPr="00DA51CD">
        <w:rPr>
          <w:rFonts w:cs="Arial"/>
          <w:bCs/>
          <w:sz w:val="21"/>
          <w:szCs w:val="21"/>
        </w:rPr>
        <w:t>Minor Extent of Deviation - Discharge of nonstormwater to MS4 or turbid discharges to MS4 with sampling results less than 130% and with little possibility of runoff reaching surface water or wetland</w:t>
      </w:r>
    </w:p>
    <w:p w14:paraId="25443C22" w14:textId="77777777" w:rsidR="00A303DD" w:rsidRPr="00DA51CD" w:rsidRDefault="00A303DD" w:rsidP="00A303DD">
      <w:pPr>
        <w:spacing w:line="218" w:lineRule="auto"/>
        <w:ind w:left="3600" w:firstLine="720"/>
        <w:rPr>
          <w:rFonts w:cs="Arial"/>
          <w:bCs/>
          <w:sz w:val="21"/>
          <w:szCs w:val="21"/>
        </w:rPr>
      </w:pPr>
      <w:r w:rsidRPr="00DA51CD">
        <w:rPr>
          <w:rFonts w:cs="Arial"/>
          <w:bCs/>
          <w:sz w:val="21"/>
          <w:szCs w:val="21"/>
        </w:rPr>
        <w:t>$1,500</w:t>
      </w:r>
    </w:p>
    <w:p w14:paraId="45C3ABD5" w14:textId="77777777" w:rsidR="00A303DD" w:rsidRPr="00DA51CD" w:rsidRDefault="00A303DD" w:rsidP="00A303DD">
      <w:pPr>
        <w:spacing w:line="218" w:lineRule="auto"/>
        <w:rPr>
          <w:rFonts w:cs="Arial"/>
          <w:bCs/>
          <w:sz w:val="21"/>
          <w:szCs w:val="21"/>
          <w:u w:val="single"/>
        </w:rPr>
      </w:pPr>
    </w:p>
    <w:p w14:paraId="7EA3EF27" w14:textId="77777777" w:rsidR="00A303DD" w:rsidRPr="00DA51CD" w:rsidRDefault="00A303DD" w:rsidP="00A303DD">
      <w:pPr>
        <w:spacing w:line="218" w:lineRule="auto"/>
        <w:ind w:left="5040" w:hanging="3600"/>
        <w:rPr>
          <w:rFonts w:cs="Arial"/>
          <w:bCs/>
          <w:sz w:val="21"/>
          <w:szCs w:val="21"/>
        </w:rPr>
      </w:pPr>
      <w:r w:rsidRPr="00DA51CD">
        <w:rPr>
          <w:rFonts w:cs="Arial"/>
          <w:bCs/>
          <w:sz w:val="21"/>
          <w:szCs w:val="21"/>
          <w:u w:val="single"/>
        </w:rPr>
        <w:t>Consent Order requirements:</w:t>
      </w:r>
      <w:r w:rsidRPr="00DA51CD">
        <w:rPr>
          <w:rFonts w:cs="Arial"/>
          <w:bCs/>
          <w:sz w:val="21"/>
          <w:szCs w:val="21"/>
        </w:rPr>
        <w:tab/>
        <w:t>Immediately upon the effective date: Monitor, sample, notify EQD and report to EQD until Final Stabilization</w:t>
      </w:r>
    </w:p>
    <w:p w14:paraId="721AB722" w14:textId="77777777" w:rsidR="00A303DD" w:rsidRPr="00DA51CD" w:rsidRDefault="00A303DD" w:rsidP="00A303DD">
      <w:pPr>
        <w:spacing w:line="218" w:lineRule="auto"/>
        <w:ind w:left="5040"/>
        <w:rPr>
          <w:rFonts w:cs="Arial"/>
          <w:bCs/>
          <w:sz w:val="21"/>
          <w:szCs w:val="21"/>
        </w:rPr>
      </w:pPr>
      <w:r w:rsidRPr="00DA51CD">
        <w:rPr>
          <w:rFonts w:cs="Arial"/>
          <w:bCs/>
          <w:sz w:val="21"/>
          <w:szCs w:val="21"/>
        </w:rPr>
        <w:t>Within 14 days of the effective date: Perform/Revise BMP Assessment</w:t>
      </w:r>
    </w:p>
    <w:p w14:paraId="05F078E2" w14:textId="77777777" w:rsidR="00A303DD" w:rsidRPr="00DA51CD" w:rsidRDefault="00A303DD" w:rsidP="00A303DD">
      <w:pPr>
        <w:spacing w:line="218" w:lineRule="auto"/>
        <w:ind w:left="5040"/>
        <w:rPr>
          <w:rFonts w:cs="Arial"/>
          <w:bCs/>
          <w:sz w:val="21"/>
          <w:szCs w:val="21"/>
        </w:rPr>
      </w:pPr>
      <w:r w:rsidRPr="00DA51CD">
        <w:rPr>
          <w:rFonts w:cs="Arial"/>
          <w:bCs/>
          <w:sz w:val="21"/>
          <w:szCs w:val="21"/>
        </w:rPr>
        <w:t>Within 21 days of the effective date: Submit BMP Assessment to EQD</w:t>
      </w:r>
    </w:p>
    <w:p w14:paraId="755A2E5F" w14:textId="77777777" w:rsidR="00A303DD" w:rsidRPr="00DA51CD" w:rsidRDefault="00A303DD" w:rsidP="00A303DD">
      <w:pPr>
        <w:spacing w:line="218" w:lineRule="auto"/>
        <w:ind w:left="5040"/>
        <w:rPr>
          <w:rFonts w:cs="Arial"/>
          <w:bCs/>
          <w:sz w:val="21"/>
          <w:szCs w:val="21"/>
        </w:rPr>
      </w:pPr>
      <w:r w:rsidRPr="00DA51CD">
        <w:rPr>
          <w:rFonts w:cs="Arial"/>
          <w:bCs/>
          <w:sz w:val="21"/>
          <w:szCs w:val="21"/>
        </w:rPr>
        <w:t>Within 28 days of the effective date: Implement BMP Assessment</w:t>
      </w:r>
    </w:p>
    <w:p w14:paraId="1FB1DC2A" w14:textId="77777777" w:rsidR="00A303DD" w:rsidRDefault="00A303DD" w:rsidP="00A303DD">
      <w:pPr>
        <w:spacing w:line="218" w:lineRule="auto"/>
        <w:rPr>
          <w:rFonts w:cs="Arial"/>
          <w:bCs/>
          <w:sz w:val="21"/>
          <w:szCs w:val="21"/>
        </w:rPr>
      </w:pPr>
    </w:p>
    <w:p w14:paraId="0557EF3C" w14:textId="77777777" w:rsidR="00A303DD" w:rsidRPr="00AF4AF3" w:rsidRDefault="00A303DD" w:rsidP="00A303DD">
      <w:pPr>
        <w:spacing w:line="218" w:lineRule="auto"/>
        <w:rPr>
          <w:rFonts w:cs="Arial"/>
          <w:bCs/>
          <w:sz w:val="21"/>
          <w:szCs w:val="21"/>
        </w:rPr>
      </w:pPr>
    </w:p>
    <w:p w14:paraId="19817836" w14:textId="77777777" w:rsidR="00A303DD" w:rsidRDefault="00A303DD" w:rsidP="00A303DD">
      <w:pPr>
        <w:pStyle w:val="ListParagraph"/>
        <w:numPr>
          <w:ilvl w:val="0"/>
          <w:numId w:val="12"/>
        </w:numPr>
        <w:spacing w:line="218" w:lineRule="auto"/>
        <w:rPr>
          <w:rFonts w:cs="Arial"/>
          <w:bCs/>
          <w:sz w:val="21"/>
          <w:szCs w:val="21"/>
        </w:rPr>
      </w:pPr>
      <w:r w:rsidRPr="009306DB">
        <w:rPr>
          <w:rFonts w:cs="Arial"/>
          <w:b/>
          <w:sz w:val="21"/>
          <w:szCs w:val="21"/>
        </w:rPr>
        <w:t xml:space="preserve">Pelican Pointe Gardens, LP and Four/Four Corporation cross reference Four/Four Corporation of Delaware, Inc. (WP-21-67) – Amended Consent Order - </w:t>
      </w:r>
      <w:r w:rsidRPr="009306DB">
        <w:rPr>
          <w:rFonts w:cs="Arial"/>
          <w:bCs/>
          <w:sz w:val="21"/>
          <w:szCs w:val="21"/>
        </w:rPr>
        <w:t>Unlawful discharge of untreated wastewater to the ground, surrounding environment and stormwater; Failure to maintain wastewater collection/transmission system to function as intended; Unlawful bypass of system or treatment facility; Failure to comply with sewerage design standards; Failure to have compliant, recorded OMR Agreement; Failure to notify EQD of discharge and provide required records</w:t>
      </w:r>
    </w:p>
    <w:p w14:paraId="16ED77ED" w14:textId="77777777" w:rsidR="00A303DD" w:rsidRDefault="00A303DD" w:rsidP="00A303DD">
      <w:pPr>
        <w:spacing w:line="218" w:lineRule="auto"/>
        <w:ind w:left="360"/>
        <w:rPr>
          <w:rFonts w:cs="Arial"/>
          <w:bCs/>
          <w:sz w:val="21"/>
          <w:szCs w:val="21"/>
        </w:rPr>
      </w:pPr>
    </w:p>
    <w:p w14:paraId="2F1E7D70" w14:textId="77777777" w:rsidR="00A303DD" w:rsidRPr="00DA51CD" w:rsidRDefault="00A303DD" w:rsidP="00A303DD">
      <w:pPr>
        <w:spacing w:line="218" w:lineRule="auto"/>
        <w:ind w:left="5040" w:hanging="3600"/>
        <w:rPr>
          <w:rFonts w:cs="Arial"/>
          <w:bCs/>
          <w:sz w:val="21"/>
          <w:szCs w:val="21"/>
        </w:rPr>
      </w:pPr>
      <w:r w:rsidRPr="00DA51CD">
        <w:rPr>
          <w:rFonts w:cs="Arial"/>
          <w:bCs/>
          <w:sz w:val="21"/>
          <w:szCs w:val="21"/>
          <w:u w:val="single"/>
        </w:rPr>
        <w:t>Respondent’s corrective actions:</w:t>
      </w:r>
      <w:r>
        <w:rPr>
          <w:rFonts w:cs="Arial"/>
          <w:bCs/>
          <w:sz w:val="21"/>
          <w:szCs w:val="21"/>
        </w:rPr>
        <w:tab/>
      </w:r>
      <w:r w:rsidRPr="00DA51CD">
        <w:rPr>
          <w:rFonts w:cs="Arial"/>
          <w:bCs/>
          <w:sz w:val="21"/>
          <w:szCs w:val="21"/>
        </w:rPr>
        <w:t>While OMR was in completion and after consulting with legal and engineering professionals, Four/Four Corporation has elected to make independent connection to a JEA point of connection.</w:t>
      </w:r>
    </w:p>
    <w:p w14:paraId="3FBF1053" w14:textId="77777777" w:rsidR="00A303DD" w:rsidRPr="00DA51CD" w:rsidRDefault="00A303DD" w:rsidP="00A303DD">
      <w:pPr>
        <w:spacing w:line="218" w:lineRule="auto"/>
        <w:rPr>
          <w:rFonts w:cs="Arial"/>
          <w:bCs/>
          <w:sz w:val="21"/>
          <w:szCs w:val="21"/>
        </w:rPr>
      </w:pPr>
    </w:p>
    <w:p w14:paraId="1FE20371" w14:textId="77777777" w:rsidR="00A303DD" w:rsidRPr="00DA51CD" w:rsidRDefault="00A303DD" w:rsidP="00A303DD">
      <w:pPr>
        <w:spacing w:line="218" w:lineRule="auto"/>
        <w:ind w:left="720" w:firstLine="720"/>
        <w:rPr>
          <w:rFonts w:cs="Arial"/>
          <w:bCs/>
          <w:sz w:val="21"/>
          <w:szCs w:val="21"/>
        </w:rPr>
      </w:pPr>
      <w:r w:rsidRPr="00DA51CD">
        <w:rPr>
          <w:rFonts w:cs="Arial"/>
          <w:bCs/>
          <w:sz w:val="21"/>
          <w:szCs w:val="21"/>
          <w:u w:val="single"/>
        </w:rPr>
        <w:lastRenderedPageBreak/>
        <w:t>Consent Order settlement fee:</w:t>
      </w:r>
      <w:r w:rsidRPr="00DA51CD">
        <w:rPr>
          <w:rFonts w:cs="Arial"/>
          <w:bCs/>
          <w:sz w:val="21"/>
          <w:szCs w:val="21"/>
        </w:rPr>
        <w:tab/>
      </w:r>
      <w:r>
        <w:rPr>
          <w:rFonts w:cs="Arial"/>
          <w:bCs/>
          <w:sz w:val="21"/>
          <w:szCs w:val="21"/>
        </w:rPr>
        <w:tab/>
      </w:r>
      <w:r w:rsidRPr="00DA51CD">
        <w:rPr>
          <w:rFonts w:cs="Arial"/>
          <w:b/>
          <w:sz w:val="21"/>
          <w:szCs w:val="21"/>
        </w:rPr>
        <w:t>Assessed $8,000</w:t>
      </w:r>
    </w:p>
    <w:p w14:paraId="3CAABDDF" w14:textId="77777777" w:rsidR="00A303DD" w:rsidRPr="00DA51CD" w:rsidRDefault="00A303DD" w:rsidP="00A303DD">
      <w:pPr>
        <w:spacing w:line="218" w:lineRule="auto"/>
        <w:ind w:left="3600" w:hanging="1440"/>
        <w:rPr>
          <w:rFonts w:cs="Arial"/>
          <w:bCs/>
          <w:sz w:val="21"/>
          <w:szCs w:val="21"/>
        </w:rPr>
      </w:pPr>
      <w:r w:rsidRPr="00DA51CD">
        <w:rPr>
          <w:rFonts w:cs="Arial"/>
          <w:bCs/>
          <w:sz w:val="21"/>
          <w:szCs w:val="21"/>
        </w:rPr>
        <w:t>7/10/2021</w:t>
      </w:r>
      <w:r w:rsidRPr="00DA51CD">
        <w:rPr>
          <w:rFonts w:cs="Arial"/>
          <w:bCs/>
          <w:sz w:val="21"/>
          <w:szCs w:val="21"/>
        </w:rPr>
        <w:tab/>
        <w:t>Unlawful discharge of untreated wastewater to ground, surrounding environment and stormwater (FDOT or City municipal separate stormwater sewer system), failure to comply with design standards, failure to notify EQD and failure to have compliant OMR agreement for shared/manifolded system between two or more private property owners</w:t>
      </w:r>
    </w:p>
    <w:p w14:paraId="7D42FA36" w14:textId="77777777" w:rsidR="00A303DD" w:rsidRPr="00DA51CD" w:rsidRDefault="00A303DD" w:rsidP="00A303DD">
      <w:pPr>
        <w:spacing w:line="218" w:lineRule="auto"/>
        <w:ind w:left="3600" w:firstLine="720"/>
        <w:rPr>
          <w:rFonts w:cs="Arial"/>
          <w:bCs/>
          <w:sz w:val="21"/>
          <w:szCs w:val="21"/>
        </w:rPr>
      </w:pPr>
      <w:r w:rsidRPr="00DA51CD">
        <w:rPr>
          <w:rFonts w:cs="Arial"/>
          <w:bCs/>
          <w:sz w:val="21"/>
          <w:szCs w:val="21"/>
        </w:rPr>
        <w:t>Major potential harm and major extent of deviation</w:t>
      </w:r>
    </w:p>
    <w:p w14:paraId="0D85E088" w14:textId="77777777" w:rsidR="00A303DD" w:rsidRPr="00DA51CD" w:rsidRDefault="00A303DD" w:rsidP="00A303DD">
      <w:pPr>
        <w:spacing w:line="218" w:lineRule="auto"/>
        <w:ind w:left="4320"/>
        <w:rPr>
          <w:rFonts w:cs="Arial"/>
          <w:bCs/>
          <w:sz w:val="21"/>
          <w:szCs w:val="21"/>
        </w:rPr>
      </w:pPr>
      <w:r w:rsidRPr="00DA51CD">
        <w:rPr>
          <w:rFonts w:cs="Arial"/>
          <w:bCs/>
          <w:sz w:val="21"/>
          <w:szCs w:val="21"/>
        </w:rPr>
        <w:t>Previously approved mitigation modified. Due to proposed amendments in Rule 3 with final hearing April 18</w:t>
      </w:r>
      <w:r w:rsidRPr="00DA51CD">
        <w:rPr>
          <w:rFonts w:cs="Arial"/>
          <w:bCs/>
          <w:sz w:val="21"/>
          <w:szCs w:val="21"/>
          <w:vertAlign w:val="superscript"/>
        </w:rPr>
        <w:t xml:space="preserve">, </w:t>
      </w:r>
      <w:r w:rsidRPr="00DA51CD">
        <w:rPr>
          <w:rFonts w:cs="Arial"/>
          <w:bCs/>
          <w:sz w:val="21"/>
          <w:szCs w:val="21"/>
        </w:rPr>
        <w:t>parties must now commit in writing by May 6, 2022 to complete telemetry requirement at both pump stations upon construction/repairs or pay $8,000 within 30 days of approval of Amended Consent Order.</w:t>
      </w:r>
    </w:p>
    <w:p w14:paraId="64037F12" w14:textId="77777777" w:rsidR="00A303DD" w:rsidRPr="00DA51CD" w:rsidRDefault="00A303DD" w:rsidP="00A303DD">
      <w:pPr>
        <w:spacing w:line="218" w:lineRule="auto"/>
        <w:rPr>
          <w:rFonts w:cs="Arial"/>
          <w:bCs/>
          <w:sz w:val="21"/>
          <w:szCs w:val="21"/>
        </w:rPr>
      </w:pPr>
    </w:p>
    <w:p w14:paraId="76DD7799" w14:textId="77777777" w:rsidR="00A303DD" w:rsidRPr="00DA51CD" w:rsidRDefault="00A303DD" w:rsidP="00A303DD">
      <w:pPr>
        <w:spacing w:line="218" w:lineRule="auto"/>
        <w:ind w:left="5040" w:hanging="3600"/>
        <w:rPr>
          <w:rFonts w:cs="Arial"/>
          <w:bCs/>
          <w:sz w:val="21"/>
          <w:szCs w:val="21"/>
        </w:rPr>
      </w:pPr>
      <w:r w:rsidRPr="00DA51CD">
        <w:rPr>
          <w:rFonts w:cs="Arial"/>
          <w:bCs/>
          <w:sz w:val="21"/>
          <w:szCs w:val="21"/>
          <w:u w:val="single"/>
        </w:rPr>
        <w:t>Consent Order requirements:</w:t>
      </w:r>
      <w:r>
        <w:rPr>
          <w:rFonts w:cs="Arial"/>
          <w:bCs/>
          <w:sz w:val="21"/>
          <w:szCs w:val="21"/>
        </w:rPr>
        <w:tab/>
      </w:r>
      <w:r w:rsidRPr="00DA51CD">
        <w:rPr>
          <w:rFonts w:cs="Arial"/>
          <w:bCs/>
          <w:sz w:val="21"/>
          <w:szCs w:val="21"/>
        </w:rPr>
        <w:t>Consent Order has been amended based upon independent connections</w:t>
      </w:r>
    </w:p>
    <w:p w14:paraId="294216BA" w14:textId="77777777" w:rsidR="00A303DD" w:rsidRPr="00DA51CD" w:rsidRDefault="00A303DD" w:rsidP="00A303DD">
      <w:pPr>
        <w:spacing w:line="218" w:lineRule="auto"/>
        <w:ind w:left="4320" w:firstLine="720"/>
        <w:rPr>
          <w:rFonts w:cs="Arial"/>
          <w:bCs/>
          <w:i/>
          <w:iCs/>
          <w:sz w:val="21"/>
          <w:szCs w:val="21"/>
          <w:u w:val="single"/>
        </w:rPr>
      </w:pPr>
      <w:r w:rsidRPr="00DA51CD">
        <w:rPr>
          <w:rFonts w:cs="Arial"/>
          <w:bCs/>
          <w:i/>
          <w:iCs/>
          <w:sz w:val="21"/>
          <w:szCs w:val="21"/>
          <w:u w:val="single"/>
        </w:rPr>
        <w:t>Four/Four Corporation for 1403 Dunn System:</w:t>
      </w:r>
    </w:p>
    <w:p w14:paraId="676EB802" w14:textId="77777777" w:rsidR="00A303DD" w:rsidRPr="00DA51CD" w:rsidRDefault="00A303DD" w:rsidP="00A303DD">
      <w:pPr>
        <w:spacing w:line="218" w:lineRule="auto"/>
        <w:ind w:left="5040"/>
        <w:rPr>
          <w:rFonts w:cs="Arial"/>
          <w:bCs/>
          <w:sz w:val="21"/>
          <w:szCs w:val="21"/>
        </w:rPr>
      </w:pPr>
      <w:r w:rsidRPr="00DA51CD">
        <w:rPr>
          <w:rFonts w:cs="Arial"/>
          <w:bCs/>
          <w:sz w:val="21"/>
          <w:szCs w:val="21"/>
        </w:rPr>
        <w:t>DEP Permit application:</w:t>
      </w:r>
      <w:r w:rsidRPr="00DA51CD">
        <w:rPr>
          <w:rFonts w:cs="Arial"/>
          <w:bCs/>
          <w:sz w:val="21"/>
          <w:szCs w:val="21"/>
        </w:rPr>
        <w:tab/>
        <w:t>No later than 6/30/2022</w:t>
      </w:r>
    </w:p>
    <w:p w14:paraId="1D9607C9" w14:textId="77777777" w:rsidR="00A303DD" w:rsidRPr="00DA51CD" w:rsidRDefault="00A303DD" w:rsidP="00A303DD">
      <w:pPr>
        <w:spacing w:line="218" w:lineRule="auto"/>
        <w:ind w:left="5040"/>
        <w:rPr>
          <w:rFonts w:cs="Arial"/>
          <w:bCs/>
          <w:sz w:val="21"/>
          <w:szCs w:val="21"/>
        </w:rPr>
      </w:pPr>
      <w:r w:rsidRPr="00DA51CD">
        <w:rPr>
          <w:rFonts w:cs="Arial"/>
          <w:bCs/>
          <w:sz w:val="21"/>
          <w:szCs w:val="21"/>
        </w:rPr>
        <w:t>DEP Clearance package: No later than 10/15/2022</w:t>
      </w:r>
    </w:p>
    <w:p w14:paraId="1FB56271" w14:textId="77777777" w:rsidR="00A303DD" w:rsidRPr="00DA51CD" w:rsidRDefault="00A303DD" w:rsidP="00A303DD">
      <w:pPr>
        <w:spacing w:line="218" w:lineRule="auto"/>
        <w:ind w:left="5040"/>
        <w:rPr>
          <w:rFonts w:cs="Arial"/>
          <w:bCs/>
          <w:sz w:val="21"/>
          <w:szCs w:val="21"/>
        </w:rPr>
      </w:pPr>
      <w:r w:rsidRPr="00DA51CD">
        <w:rPr>
          <w:rFonts w:cs="Arial"/>
          <w:bCs/>
          <w:sz w:val="21"/>
          <w:szCs w:val="21"/>
        </w:rPr>
        <w:t>Monthly Status Report and Maintenance Records:  Beginning 4/30/2022</w:t>
      </w:r>
    </w:p>
    <w:p w14:paraId="0C8E5A47" w14:textId="77777777" w:rsidR="00A303DD" w:rsidRPr="00DA51CD" w:rsidRDefault="00A303DD" w:rsidP="00A303DD">
      <w:pPr>
        <w:spacing w:line="218" w:lineRule="auto"/>
        <w:ind w:left="4320" w:firstLine="720"/>
        <w:rPr>
          <w:rFonts w:cs="Arial"/>
          <w:bCs/>
          <w:i/>
          <w:iCs/>
          <w:sz w:val="21"/>
          <w:szCs w:val="21"/>
          <w:u w:val="single"/>
        </w:rPr>
      </w:pPr>
      <w:r w:rsidRPr="00DA51CD">
        <w:rPr>
          <w:rFonts w:cs="Arial"/>
          <w:bCs/>
          <w:i/>
          <w:iCs/>
          <w:sz w:val="21"/>
          <w:szCs w:val="21"/>
          <w:u w:val="single"/>
        </w:rPr>
        <w:t>Pelican Point for 1333 Dunn System:</w:t>
      </w:r>
    </w:p>
    <w:p w14:paraId="4C2A055F" w14:textId="77777777" w:rsidR="00A303DD" w:rsidRPr="00DA51CD" w:rsidRDefault="00A303DD" w:rsidP="00A303DD">
      <w:pPr>
        <w:spacing w:line="218" w:lineRule="auto"/>
        <w:ind w:left="5040"/>
        <w:rPr>
          <w:rFonts w:cs="Arial"/>
          <w:bCs/>
          <w:sz w:val="21"/>
          <w:szCs w:val="21"/>
        </w:rPr>
      </w:pPr>
      <w:r w:rsidRPr="00DA51CD">
        <w:rPr>
          <w:rFonts w:cs="Arial"/>
          <w:bCs/>
          <w:sz w:val="21"/>
          <w:szCs w:val="21"/>
        </w:rPr>
        <w:t>Complete Engineer Report:  Within 60 days after disconnection of 1403 Dunn System</w:t>
      </w:r>
    </w:p>
    <w:p w14:paraId="031CF478" w14:textId="77777777" w:rsidR="00A303DD" w:rsidRPr="00DA51CD" w:rsidRDefault="00A303DD" w:rsidP="00A303DD">
      <w:pPr>
        <w:spacing w:line="218" w:lineRule="auto"/>
        <w:ind w:left="5040"/>
        <w:rPr>
          <w:rFonts w:cs="Arial"/>
          <w:bCs/>
          <w:sz w:val="21"/>
          <w:szCs w:val="21"/>
        </w:rPr>
      </w:pPr>
      <w:r w:rsidRPr="00DA51CD">
        <w:rPr>
          <w:rFonts w:cs="Arial"/>
          <w:bCs/>
          <w:sz w:val="21"/>
          <w:szCs w:val="21"/>
        </w:rPr>
        <w:t>Project deadlines based on EQD accepted Engineer Report</w:t>
      </w:r>
    </w:p>
    <w:p w14:paraId="08DB42BD" w14:textId="77777777" w:rsidR="00A303DD" w:rsidRPr="00DA51CD" w:rsidRDefault="00A303DD" w:rsidP="00A303DD">
      <w:pPr>
        <w:spacing w:line="218" w:lineRule="auto"/>
        <w:ind w:left="5040"/>
        <w:rPr>
          <w:rFonts w:cs="Arial"/>
          <w:bCs/>
          <w:sz w:val="21"/>
          <w:szCs w:val="21"/>
        </w:rPr>
      </w:pPr>
      <w:r w:rsidRPr="00DA51CD">
        <w:rPr>
          <w:rFonts w:cs="Arial"/>
          <w:bCs/>
          <w:sz w:val="21"/>
          <w:szCs w:val="21"/>
        </w:rPr>
        <w:t>DEP Permit application (if required): Within 60 days of notification by EQD</w:t>
      </w:r>
    </w:p>
    <w:p w14:paraId="5E9C0768" w14:textId="77777777" w:rsidR="00A303DD" w:rsidRPr="00DA51CD" w:rsidRDefault="00A303DD" w:rsidP="00A303DD">
      <w:pPr>
        <w:spacing w:line="218" w:lineRule="auto"/>
        <w:ind w:left="5040"/>
        <w:rPr>
          <w:rFonts w:cs="Arial"/>
          <w:bCs/>
          <w:sz w:val="21"/>
          <w:szCs w:val="21"/>
        </w:rPr>
      </w:pPr>
      <w:r w:rsidRPr="00DA51CD">
        <w:rPr>
          <w:rFonts w:cs="Arial"/>
          <w:bCs/>
          <w:sz w:val="21"/>
          <w:szCs w:val="21"/>
        </w:rPr>
        <w:t>Final Engineer Report:  Deadline set by EQD after review of Engineer Report and/or DEP permit issuance</w:t>
      </w:r>
    </w:p>
    <w:p w14:paraId="22D4FAD6" w14:textId="77777777" w:rsidR="00A303DD" w:rsidRPr="00DA51CD" w:rsidRDefault="00A303DD" w:rsidP="00A303DD">
      <w:pPr>
        <w:spacing w:line="218" w:lineRule="auto"/>
        <w:ind w:left="5040"/>
        <w:rPr>
          <w:rFonts w:cs="Arial"/>
          <w:bCs/>
          <w:sz w:val="21"/>
          <w:szCs w:val="21"/>
        </w:rPr>
      </w:pPr>
      <w:r w:rsidRPr="00DA51CD">
        <w:rPr>
          <w:rFonts w:cs="Arial"/>
          <w:bCs/>
          <w:sz w:val="21"/>
          <w:szCs w:val="21"/>
        </w:rPr>
        <w:t>Monthly Status Report and Maintenance Records:  Beginning 4/30/2022 with maintenance records</w:t>
      </w:r>
    </w:p>
    <w:p w14:paraId="5FA7BB08" w14:textId="3920657F" w:rsidR="00A303DD" w:rsidRDefault="00A303DD" w:rsidP="00A303DD">
      <w:pPr>
        <w:spacing w:line="218" w:lineRule="auto"/>
        <w:rPr>
          <w:rFonts w:cs="Arial"/>
          <w:bCs/>
          <w:sz w:val="21"/>
          <w:szCs w:val="21"/>
        </w:rPr>
      </w:pPr>
    </w:p>
    <w:p w14:paraId="2AE28005" w14:textId="4E561336" w:rsidR="00A303DD" w:rsidRDefault="00A303DD" w:rsidP="00A303DD">
      <w:pPr>
        <w:spacing w:line="218" w:lineRule="auto"/>
        <w:rPr>
          <w:rFonts w:cs="Arial"/>
          <w:bCs/>
          <w:sz w:val="21"/>
          <w:szCs w:val="21"/>
        </w:rPr>
      </w:pPr>
    </w:p>
    <w:p w14:paraId="572BDED3" w14:textId="4910272F" w:rsidR="00A303DD" w:rsidRDefault="00A303DD" w:rsidP="00A303DD">
      <w:pPr>
        <w:spacing w:line="218" w:lineRule="auto"/>
        <w:rPr>
          <w:rFonts w:cs="Arial"/>
          <w:bCs/>
          <w:sz w:val="21"/>
          <w:szCs w:val="21"/>
        </w:rPr>
      </w:pPr>
    </w:p>
    <w:p w14:paraId="0BBC0A72" w14:textId="47E97F1F" w:rsidR="00A303DD" w:rsidRDefault="00A303DD" w:rsidP="00A303DD">
      <w:pPr>
        <w:spacing w:line="218" w:lineRule="auto"/>
        <w:rPr>
          <w:rFonts w:cs="Arial"/>
          <w:bCs/>
          <w:sz w:val="21"/>
          <w:szCs w:val="21"/>
        </w:rPr>
      </w:pPr>
    </w:p>
    <w:p w14:paraId="63BE9B95" w14:textId="22637C5F" w:rsidR="00A303DD" w:rsidRDefault="00A303DD" w:rsidP="00A303DD">
      <w:pPr>
        <w:spacing w:line="218" w:lineRule="auto"/>
        <w:rPr>
          <w:rFonts w:cs="Arial"/>
          <w:bCs/>
          <w:sz w:val="21"/>
          <w:szCs w:val="21"/>
        </w:rPr>
      </w:pPr>
    </w:p>
    <w:p w14:paraId="5DA708CC" w14:textId="6C097477" w:rsidR="00A303DD" w:rsidRDefault="00A303DD" w:rsidP="00A303DD">
      <w:pPr>
        <w:spacing w:line="218" w:lineRule="auto"/>
        <w:rPr>
          <w:rFonts w:cs="Arial"/>
          <w:bCs/>
          <w:sz w:val="21"/>
          <w:szCs w:val="21"/>
        </w:rPr>
      </w:pPr>
    </w:p>
    <w:p w14:paraId="41C5EAD2" w14:textId="60CE6237" w:rsidR="00A303DD" w:rsidRDefault="00A303DD" w:rsidP="00A303DD">
      <w:pPr>
        <w:spacing w:line="218" w:lineRule="auto"/>
        <w:rPr>
          <w:rFonts w:cs="Arial"/>
          <w:bCs/>
          <w:sz w:val="21"/>
          <w:szCs w:val="21"/>
        </w:rPr>
      </w:pPr>
    </w:p>
    <w:p w14:paraId="689AAF58" w14:textId="1145BB3B" w:rsidR="00A303DD" w:rsidRDefault="00A303DD" w:rsidP="00A303DD">
      <w:pPr>
        <w:spacing w:line="218" w:lineRule="auto"/>
        <w:rPr>
          <w:rFonts w:cs="Arial"/>
          <w:bCs/>
          <w:sz w:val="21"/>
          <w:szCs w:val="21"/>
        </w:rPr>
      </w:pPr>
    </w:p>
    <w:p w14:paraId="3B2C8E5E" w14:textId="375E6E03" w:rsidR="00A303DD" w:rsidRDefault="00A303DD" w:rsidP="00A303DD">
      <w:pPr>
        <w:spacing w:line="218" w:lineRule="auto"/>
        <w:rPr>
          <w:rFonts w:cs="Arial"/>
          <w:bCs/>
          <w:sz w:val="21"/>
          <w:szCs w:val="21"/>
        </w:rPr>
      </w:pPr>
    </w:p>
    <w:p w14:paraId="3CAF35F8" w14:textId="28B62C82" w:rsidR="00A303DD" w:rsidRDefault="00A303DD" w:rsidP="00A303DD">
      <w:pPr>
        <w:spacing w:line="218" w:lineRule="auto"/>
        <w:rPr>
          <w:rFonts w:cs="Arial"/>
          <w:bCs/>
          <w:sz w:val="21"/>
          <w:szCs w:val="21"/>
        </w:rPr>
      </w:pPr>
    </w:p>
    <w:p w14:paraId="6FD640A7" w14:textId="097B472C" w:rsidR="00A303DD" w:rsidRDefault="00A303DD" w:rsidP="00A303DD">
      <w:pPr>
        <w:spacing w:line="218" w:lineRule="auto"/>
        <w:rPr>
          <w:rFonts w:cs="Arial"/>
          <w:bCs/>
          <w:sz w:val="21"/>
          <w:szCs w:val="21"/>
        </w:rPr>
      </w:pPr>
    </w:p>
    <w:p w14:paraId="59662A3D" w14:textId="3F6F5C66" w:rsidR="00A303DD" w:rsidRDefault="00A303DD" w:rsidP="00A303DD">
      <w:pPr>
        <w:spacing w:line="218" w:lineRule="auto"/>
        <w:rPr>
          <w:rFonts w:cs="Arial"/>
          <w:bCs/>
          <w:sz w:val="21"/>
          <w:szCs w:val="21"/>
        </w:rPr>
      </w:pPr>
    </w:p>
    <w:p w14:paraId="2E3880A9" w14:textId="48AC916F" w:rsidR="00A303DD" w:rsidRDefault="00A303DD" w:rsidP="00A303DD">
      <w:pPr>
        <w:spacing w:line="218" w:lineRule="auto"/>
        <w:rPr>
          <w:rFonts w:cs="Arial"/>
          <w:bCs/>
          <w:sz w:val="21"/>
          <w:szCs w:val="21"/>
        </w:rPr>
      </w:pPr>
    </w:p>
    <w:p w14:paraId="1F543873" w14:textId="7D06678B" w:rsidR="00A303DD" w:rsidRDefault="00A303DD" w:rsidP="00A303DD">
      <w:pPr>
        <w:spacing w:line="218" w:lineRule="auto"/>
        <w:rPr>
          <w:rFonts w:cs="Arial"/>
          <w:bCs/>
          <w:sz w:val="21"/>
          <w:szCs w:val="21"/>
        </w:rPr>
      </w:pPr>
    </w:p>
    <w:p w14:paraId="79BF428B" w14:textId="3968C2DC" w:rsidR="00A303DD" w:rsidRDefault="00A303DD" w:rsidP="00A303DD">
      <w:pPr>
        <w:spacing w:line="218" w:lineRule="auto"/>
        <w:rPr>
          <w:rFonts w:cs="Arial"/>
          <w:bCs/>
          <w:sz w:val="21"/>
          <w:szCs w:val="21"/>
        </w:rPr>
      </w:pPr>
    </w:p>
    <w:p w14:paraId="03084F36" w14:textId="70D3838F" w:rsidR="00A303DD" w:rsidRDefault="00A303DD" w:rsidP="00A303DD">
      <w:pPr>
        <w:spacing w:line="218" w:lineRule="auto"/>
        <w:rPr>
          <w:rFonts w:cs="Arial"/>
          <w:bCs/>
          <w:sz w:val="21"/>
          <w:szCs w:val="21"/>
        </w:rPr>
      </w:pPr>
    </w:p>
    <w:p w14:paraId="7D6B06F3" w14:textId="0DF68EBE" w:rsidR="00A303DD" w:rsidRDefault="00A303DD" w:rsidP="00A303DD">
      <w:pPr>
        <w:spacing w:line="218" w:lineRule="auto"/>
        <w:rPr>
          <w:rFonts w:cs="Arial"/>
          <w:bCs/>
          <w:sz w:val="21"/>
          <w:szCs w:val="21"/>
        </w:rPr>
      </w:pPr>
    </w:p>
    <w:p w14:paraId="46CEC93E" w14:textId="77777777" w:rsidR="00A303DD" w:rsidRDefault="00A303DD" w:rsidP="00A303DD">
      <w:pPr>
        <w:spacing w:line="218" w:lineRule="auto"/>
        <w:rPr>
          <w:rFonts w:cs="Arial"/>
          <w:bCs/>
          <w:sz w:val="21"/>
          <w:szCs w:val="21"/>
        </w:rPr>
      </w:pPr>
    </w:p>
    <w:p w14:paraId="40BF1333" w14:textId="77777777" w:rsidR="00A303DD" w:rsidRPr="003A3761" w:rsidRDefault="00A303DD" w:rsidP="00A303DD">
      <w:pPr>
        <w:spacing w:line="218" w:lineRule="auto"/>
        <w:rPr>
          <w:rFonts w:cs="Arial"/>
          <w:bCs/>
          <w:sz w:val="21"/>
          <w:szCs w:val="21"/>
        </w:rPr>
      </w:pPr>
    </w:p>
    <w:p w14:paraId="7D505793" w14:textId="77777777" w:rsidR="00A303DD" w:rsidRDefault="00A303DD" w:rsidP="00A303DD">
      <w:pPr>
        <w:pStyle w:val="ListParagraph"/>
        <w:numPr>
          <w:ilvl w:val="0"/>
          <w:numId w:val="12"/>
        </w:numPr>
        <w:spacing w:line="218" w:lineRule="auto"/>
        <w:rPr>
          <w:rFonts w:cs="Arial"/>
          <w:bCs/>
          <w:sz w:val="21"/>
          <w:szCs w:val="21"/>
        </w:rPr>
      </w:pPr>
      <w:r w:rsidRPr="009306DB">
        <w:rPr>
          <w:rFonts w:cs="Arial"/>
          <w:b/>
          <w:sz w:val="21"/>
          <w:szCs w:val="21"/>
        </w:rPr>
        <w:lastRenderedPageBreak/>
        <w:t xml:space="preserve">Malabar Motel and Mobile Home Park LLC (WP-21-45) - </w:t>
      </w:r>
      <w:r w:rsidRPr="009306DB">
        <w:rPr>
          <w:rFonts w:cs="Arial"/>
          <w:bCs/>
          <w:sz w:val="21"/>
          <w:szCs w:val="21"/>
        </w:rPr>
        <w:t>Unlawful discharge of untreated wastewater to the ground and surrounding environment; Failure to maintain wastewater collection/transmission system to function as intended; Unlawful bypass of system or treatment facility; Failure to comply with sewerage design standards; Failure to notify EQD of discharge and provide required records</w:t>
      </w:r>
    </w:p>
    <w:p w14:paraId="0E3CB09F" w14:textId="77777777" w:rsidR="00A303DD" w:rsidRPr="009306DB" w:rsidRDefault="00A303DD" w:rsidP="00A303DD">
      <w:pPr>
        <w:pStyle w:val="ListParagraph"/>
        <w:rPr>
          <w:rFonts w:cs="Arial"/>
          <w:bCs/>
          <w:sz w:val="21"/>
          <w:szCs w:val="21"/>
        </w:rPr>
      </w:pPr>
    </w:p>
    <w:p w14:paraId="49506DF2" w14:textId="77777777" w:rsidR="00A303DD" w:rsidRPr="00006341" w:rsidRDefault="00A303DD" w:rsidP="00A303DD">
      <w:pPr>
        <w:spacing w:line="218" w:lineRule="auto"/>
        <w:ind w:left="5040" w:hanging="3600"/>
        <w:rPr>
          <w:rFonts w:cs="Arial"/>
          <w:bCs/>
          <w:sz w:val="21"/>
          <w:szCs w:val="21"/>
        </w:rPr>
      </w:pPr>
      <w:r w:rsidRPr="00006341">
        <w:rPr>
          <w:rFonts w:cs="Arial"/>
          <w:bCs/>
          <w:sz w:val="21"/>
          <w:szCs w:val="21"/>
          <w:u w:val="single"/>
        </w:rPr>
        <w:t>Respondent’s corrective actions:</w:t>
      </w:r>
      <w:r>
        <w:rPr>
          <w:rFonts w:cs="Arial"/>
          <w:bCs/>
          <w:sz w:val="21"/>
          <w:szCs w:val="21"/>
        </w:rPr>
        <w:tab/>
      </w:r>
      <w:r w:rsidRPr="00006341">
        <w:rPr>
          <w:rFonts w:cs="Arial"/>
          <w:bCs/>
          <w:sz w:val="21"/>
          <w:szCs w:val="21"/>
        </w:rPr>
        <w:t>Engineer hired to review modified system without permit and file DEP Permit Application</w:t>
      </w:r>
    </w:p>
    <w:p w14:paraId="2D96C0DF" w14:textId="77777777" w:rsidR="00A303DD" w:rsidRPr="00006341" w:rsidRDefault="00A303DD" w:rsidP="00A303DD">
      <w:pPr>
        <w:spacing w:line="218" w:lineRule="auto"/>
        <w:rPr>
          <w:rFonts w:cs="Arial"/>
          <w:bCs/>
          <w:sz w:val="21"/>
          <w:szCs w:val="21"/>
        </w:rPr>
      </w:pPr>
    </w:p>
    <w:p w14:paraId="0B71EA54" w14:textId="77777777" w:rsidR="00A303DD" w:rsidRPr="00006341" w:rsidRDefault="00A303DD" w:rsidP="00A303DD">
      <w:pPr>
        <w:spacing w:line="218" w:lineRule="auto"/>
        <w:ind w:left="720" w:firstLine="720"/>
        <w:rPr>
          <w:rFonts w:cs="Arial"/>
          <w:bCs/>
          <w:sz w:val="21"/>
          <w:szCs w:val="21"/>
        </w:rPr>
      </w:pPr>
      <w:r w:rsidRPr="00006341">
        <w:rPr>
          <w:rFonts w:cs="Arial"/>
          <w:bCs/>
          <w:sz w:val="21"/>
          <w:szCs w:val="21"/>
          <w:u w:val="single"/>
        </w:rPr>
        <w:t>Consent Order settlement fee:</w:t>
      </w:r>
      <w:r w:rsidRPr="00006341">
        <w:rPr>
          <w:rFonts w:cs="Arial"/>
          <w:bCs/>
          <w:sz w:val="21"/>
          <w:szCs w:val="21"/>
        </w:rPr>
        <w:tab/>
      </w:r>
      <w:r>
        <w:rPr>
          <w:rFonts w:cs="Arial"/>
          <w:bCs/>
          <w:sz w:val="21"/>
          <w:szCs w:val="21"/>
        </w:rPr>
        <w:tab/>
      </w:r>
      <w:r w:rsidRPr="00006341">
        <w:rPr>
          <w:rFonts w:cs="Arial"/>
          <w:b/>
          <w:sz w:val="21"/>
          <w:szCs w:val="21"/>
        </w:rPr>
        <w:t>$1,500</w:t>
      </w:r>
    </w:p>
    <w:p w14:paraId="2C375EA6" w14:textId="77777777" w:rsidR="00A303DD" w:rsidRPr="00006341" w:rsidRDefault="00A303DD" w:rsidP="00A303DD">
      <w:pPr>
        <w:spacing w:line="218" w:lineRule="auto"/>
        <w:ind w:left="3600" w:hanging="1440"/>
        <w:rPr>
          <w:rFonts w:cs="Arial"/>
          <w:bCs/>
          <w:sz w:val="21"/>
          <w:szCs w:val="21"/>
        </w:rPr>
      </w:pPr>
      <w:r w:rsidRPr="00006341">
        <w:rPr>
          <w:rFonts w:cs="Arial"/>
          <w:bCs/>
          <w:sz w:val="21"/>
          <w:szCs w:val="21"/>
        </w:rPr>
        <w:t>7/15/2021</w:t>
      </w:r>
      <w:r w:rsidRPr="00006341">
        <w:rPr>
          <w:rFonts w:cs="Arial"/>
          <w:bCs/>
          <w:sz w:val="21"/>
          <w:szCs w:val="21"/>
        </w:rPr>
        <w:tab/>
        <w:t>Unlawful discharge of wastewater to ground (not public areas) and failure to comply with sewerage design standards (secure) and possibly not designed to include mobile homes added to property</w:t>
      </w:r>
    </w:p>
    <w:p w14:paraId="6336E0BE" w14:textId="77777777" w:rsidR="00A303DD" w:rsidRPr="00006341" w:rsidRDefault="00A303DD" w:rsidP="00A303DD">
      <w:pPr>
        <w:spacing w:line="218" w:lineRule="auto"/>
        <w:ind w:left="3600"/>
        <w:rPr>
          <w:rFonts w:cs="Arial"/>
          <w:bCs/>
          <w:sz w:val="21"/>
          <w:szCs w:val="21"/>
        </w:rPr>
      </w:pPr>
      <w:r w:rsidRPr="00006341">
        <w:rPr>
          <w:rFonts w:cs="Arial"/>
          <w:bCs/>
          <w:sz w:val="21"/>
          <w:szCs w:val="21"/>
        </w:rPr>
        <w:t>Direct discharge from system to surrounding environment not in public access area and not likely to reach surface waters</w:t>
      </w:r>
    </w:p>
    <w:p w14:paraId="4B58BC14" w14:textId="77777777" w:rsidR="00A303DD" w:rsidRPr="00006341" w:rsidRDefault="00A303DD" w:rsidP="00A303DD">
      <w:pPr>
        <w:spacing w:line="218" w:lineRule="auto"/>
        <w:ind w:left="4320"/>
        <w:rPr>
          <w:rFonts w:cs="Arial"/>
          <w:bCs/>
          <w:sz w:val="21"/>
          <w:szCs w:val="21"/>
        </w:rPr>
      </w:pPr>
      <w:r w:rsidRPr="00006341">
        <w:rPr>
          <w:rFonts w:cs="Arial"/>
          <w:bCs/>
          <w:sz w:val="21"/>
          <w:szCs w:val="21"/>
        </w:rPr>
        <w:t>Moderate potential for harm and minor extent of deviation</w:t>
      </w:r>
    </w:p>
    <w:p w14:paraId="26342A0D" w14:textId="77777777" w:rsidR="00A303DD" w:rsidRPr="00006341" w:rsidRDefault="00A303DD" w:rsidP="00A303DD">
      <w:pPr>
        <w:spacing w:line="218" w:lineRule="auto"/>
        <w:rPr>
          <w:rFonts w:cs="Arial"/>
          <w:bCs/>
          <w:sz w:val="21"/>
          <w:szCs w:val="21"/>
        </w:rPr>
      </w:pPr>
    </w:p>
    <w:p w14:paraId="3A3E05F2" w14:textId="77777777" w:rsidR="00A303DD" w:rsidRPr="00006341" w:rsidRDefault="00A303DD" w:rsidP="00A303DD">
      <w:pPr>
        <w:spacing w:line="218" w:lineRule="auto"/>
        <w:ind w:left="5040" w:hanging="3600"/>
        <w:rPr>
          <w:rFonts w:cs="Arial"/>
          <w:bCs/>
          <w:sz w:val="21"/>
          <w:szCs w:val="21"/>
        </w:rPr>
      </w:pPr>
      <w:r w:rsidRPr="00006341">
        <w:rPr>
          <w:rFonts w:cs="Arial"/>
          <w:bCs/>
          <w:sz w:val="21"/>
          <w:szCs w:val="21"/>
          <w:u w:val="single"/>
        </w:rPr>
        <w:t>Consent Order requirements:</w:t>
      </w:r>
      <w:r w:rsidRPr="00006341">
        <w:rPr>
          <w:rFonts w:cs="Arial"/>
          <w:bCs/>
          <w:sz w:val="21"/>
          <w:szCs w:val="21"/>
        </w:rPr>
        <w:tab/>
        <w:t>DEP Permit application:  No later than 7/1/2022</w:t>
      </w:r>
    </w:p>
    <w:p w14:paraId="7876EADB" w14:textId="77777777" w:rsidR="00A303DD" w:rsidRPr="00006341" w:rsidRDefault="00A303DD" w:rsidP="00A303DD">
      <w:pPr>
        <w:spacing w:line="218" w:lineRule="auto"/>
        <w:ind w:left="5040"/>
        <w:rPr>
          <w:rFonts w:cs="Arial"/>
          <w:bCs/>
          <w:sz w:val="21"/>
          <w:szCs w:val="21"/>
        </w:rPr>
      </w:pPr>
      <w:r w:rsidRPr="00006341">
        <w:rPr>
          <w:rFonts w:cs="Arial"/>
          <w:bCs/>
          <w:sz w:val="21"/>
          <w:szCs w:val="21"/>
        </w:rPr>
        <w:t>Complete permitted work:  Within 150 days of permit issuance</w:t>
      </w:r>
    </w:p>
    <w:p w14:paraId="051CBA84" w14:textId="77777777" w:rsidR="00A303DD" w:rsidRPr="00006341" w:rsidRDefault="00A303DD" w:rsidP="00A303DD">
      <w:pPr>
        <w:spacing w:line="218" w:lineRule="auto"/>
        <w:ind w:left="5040"/>
        <w:rPr>
          <w:rFonts w:cs="Arial"/>
          <w:bCs/>
          <w:sz w:val="21"/>
          <w:szCs w:val="21"/>
        </w:rPr>
      </w:pPr>
      <w:r w:rsidRPr="00006341">
        <w:rPr>
          <w:rFonts w:cs="Arial"/>
          <w:bCs/>
          <w:sz w:val="21"/>
          <w:szCs w:val="21"/>
        </w:rPr>
        <w:t>DEP Clearance package:</w:t>
      </w:r>
      <w:r>
        <w:rPr>
          <w:rFonts w:cs="Arial"/>
          <w:bCs/>
          <w:sz w:val="21"/>
          <w:szCs w:val="21"/>
        </w:rPr>
        <w:t xml:space="preserve">  </w:t>
      </w:r>
      <w:r w:rsidRPr="00006341">
        <w:rPr>
          <w:rFonts w:cs="Arial"/>
          <w:bCs/>
          <w:sz w:val="21"/>
          <w:szCs w:val="21"/>
        </w:rPr>
        <w:t>Within 180 days of permit issuance</w:t>
      </w:r>
    </w:p>
    <w:p w14:paraId="3A2BFD3F" w14:textId="77777777" w:rsidR="00A303DD" w:rsidRPr="00006341" w:rsidRDefault="00A303DD" w:rsidP="00A303DD">
      <w:pPr>
        <w:spacing w:line="218" w:lineRule="auto"/>
        <w:ind w:left="5040"/>
        <w:rPr>
          <w:rFonts w:cs="Arial"/>
          <w:bCs/>
          <w:sz w:val="21"/>
          <w:szCs w:val="21"/>
        </w:rPr>
      </w:pPr>
      <w:r w:rsidRPr="00006341">
        <w:rPr>
          <w:rFonts w:cs="Arial"/>
          <w:bCs/>
          <w:sz w:val="21"/>
          <w:szCs w:val="21"/>
        </w:rPr>
        <w:t>Monthly Status Report and Maintenance Records:  Beginning 3/31/2022</w:t>
      </w:r>
    </w:p>
    <w:p w14:paraId="2DF232C3" w14:textId="77777777" w:rsidR="008D097E" w:rsidRPr="0091114C" w:rsidRDefault="008D097E" w:rsidP="008D097E">
      <w:pPr>
        <w:widowControl w:val="0"/>
        <w:tabs>
          <w:tab w:val="left" w:pos="3600"/>
        </w:tabs>
        <w:ind w:left="3600"/>
        <w:jc w:val="both"/>
        <w:rPr>
          <w:rFonts w:eastAsia="Times New Roman" w:cs="Arial"/>
          <w:snapToGrid w:val="0"/>
          <w:sz w:val="20"/>
          <w:szCs w:val="20"/>
        </w:rPr>
      </w:pPr>
    </w:p>
    <w:p w14:paraId="6FFC7ECF" w14:textId="77777777" w:rsidR="00A12232" w:rsidRDefault="00A12232" w:rsidP="00A12232">
      <w:pPr>
        <w:widowControl w:val="0"/>
        <w:ind w:left="5040"/>
        <w:jc w:val="both"/>
        <w:rPr>
          <w:rFonts w:eastAsia="Times New Roman" w:cs="Arial"/>
          <w:snapToGrid w:val="0"/>
          <w:sz w:val="18"/>
          <w:szCs w:val="18"/>
        </w:rPr>
      </w:pPr>
    </w:p>
    <w:p w14:paraId="2E275C85" w14:textId="77777777" w:rsidR="00A12232" w:rsidRDefault="00A12232" w:rsidP="00A12232">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TREE KILBOURN</w:t>
      </w:r>
    </w:p>
    <w:p w14:paraId="37151E94" w14:textId="77777777" w:rsidR="00A12232" w:rsidRPr="00407052" w:rsidRDefault="00A12232" w:rsidP="00A12232">
      <w:pPr>
        <w:spacing w:after="200" w:line="276" w:lineRule="auto"/>
        <w:ind w:left="720"/>
        <w:contextualSpacing/>
        <w:rPr>
          <w:rFonts w:ascii="Century Gothic" w:eastAsia="Times New Roman" w:hAnsi="Century Gothic" w:cs="Times New Roman"/>
          <w:sz w:val="22"/>
        </w:rPr>
      </w:pPr>
    </w:p>
    <w:p w14:paraId="4042D973" w14:textId="77777777" w:rsidR="00A12232"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 PRESENTATION(s)</w:t>
      </w:r>
    </w:p>
    <w:p w14:paraId="217445FD" w14:textId="763D1778" w:rsidR="00A12232" w:rsidRPr="0097512A" w:rsidRDefault="00A303DD" w:rsidP="00A12232">
      <w:pPr>
        <w:pStyle w:val="ListParagraph"/>
        <w:keepNext/>
        <w:keepLines/>
        <w:numPr>
          <w:ilvl w:val="0"/>
          <w:numId w:val="5"/>
        </w:numPr>
        <w:ind w:left="720"/>
        <w:outlineLvl w:val="0"/>
        <w:rPr>
          <w:rFonts w:ascii="Century Gothic" w:eastAsiaTheme="majorEastAsia" w:hAnsi="Century Gothic" w:cstheme="majorBidi"/>
          <w:sz w:val="21"/>
          <w:szCs w:val="21"/>
        </w:rPr>
      </w:pPr>
      <w:r>
        <w:rPr>
          <w:rFonts w:ascii="Century Gothic" w:eastAsiaTheme="majorEastAsia" w:hAnsi="Century Gothic" w:cstheme="majorBidi"/>
          <w:sz w:val="22"/>
        </w:rPr>
        <w:t>Chief Resiliency Officer Introduction and Update</w:t>
      </w:r>
      <w:r>
        <w:rPr>
          <w:rFonts w:ascii="Century Gothic" w:eastAsiaTheme="majorEastAsia" w:hAnsi="Century Gothic" w:cstheme="majorBidi"/>
          <w:sz w:val="22"/>
        </w:rPr>
        <w:tab/>
      </w:r>
      <w:r w:rsidRPr="00A303DD">
        <w:rPr>
          <w:rFonts w:ascii="Century Gothic" w:eastAsiaTheme="majorEastAsia" w:hAnsi="Century Gothic" w:cstheme="majorBidi"/>
          <w:b/>
          <w:bCs/>
          <w:sz w:val="22"/>
        </w:rPr>
        <w:t>ANNE COGLIANESE</w:t>
      </w:r>
    </w:p>
    <w:p w14:paraId="04ADB116" w14:textId="77777777" w:rsidR="00A12232" w:rsidRPr="00631AB9" w:rsidRDefault="00A12232" w:rsidP="00A12232">
      <w:pPr>
        <w:pStyle w:val="ListParagraph"/>
        <w:keepNext/>
        <w:keepLines/>
        <w:outlineLvl w:val="0"/>
        <w:rPr>
          <w:rFonts w:ascii="Century Gothic" w:eastAsiaTheme="majorEastAsia" w:hAnsi="Century Gothic" w:cstheme="majorBidi"/>
          <w:sz w:val="22"/>
        </w:rPr>
      </w:pPr>
    </w:p>
    <w:p w14:paraId="166F58FC" w14:textId="534BA149" w:rsidR="00A12232"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w:t>
      </w:r>
      <w:r>
        <w:rPr>
          <w:rFonts w:ascii="Century Gothic" w:eastAsiaTheme="majorEastAsia" w:hAnsi="Century Gothic" w:cstheme="majorBidi"/>
          <w:color w:val="365F91" w:themeColor="accent1" w:themeShade="BF"/>
          <w:sz w:val="22"/>
        </w:rPr>
        <w:t>I</w:t>
      </w:r>
      <w:r w:rsidR="00737D64">
        <w:rPr>
          <w:rFonts w:ascii="Century Gothic" w:eastAsiaTheme="majorEastAsia" w:hAnsi="Century Gothic" w:cstheme="majorBidi"/>
          <w:color w:val="365F91" w:themeColor="accent1" w:themeShade="BF"/>
          <w:sz w:val="22"/>
        </w:rPr>
        <w:t xml:space="preserve">I. </w:t>
      </w:r>
      <w:r w:rsidRPr="00054AFF">
        <w:rPr>
          <w:rFonts w:ascii="Century Gothic" w:eastAsiaTheme="majorEastAsia" w:hAnsi="Century Gothic" w:cstheme="majorBidi"/>
          <w:color w:val="365F91" w:themeColor="accent1" w:themeShade="BF"/>
          <w:sz w:val="22"/>
        </w:rPr>
        <w:t xml:space="preserve">PUBLIC HEARING(s) </w:t>
      </w:r>
    </w:p>
    <w:p w14:paraId="48B573AB" w14:textId="0F9FF372" w:rsidR="00A12232" w:rsidRDefault="00A303DD" w:rsidP="00A12232">
      <w:pPr>
        <w:pStyle w:val="ListParagraph"/>
        <w:numPr>
          <w:ilvl w:val="0"/>
          <w:numId w:val="5"/>
        </w:numPr>
        <w:autoSpaceDE w:val="0"/>
        <w:autoSpaceDN w:val="0"/>
        <w:adjustRightInd w:val="0"/>
        <w:ind w:left="720"/>
        <w:rPr>
          <w:rFonts w:ascii="Century Gothic" w:hAnsi="Century Gothic" w:cs="Century Gothic"/>
          <w:bCs/>
          <w:color w:val="000000"/>
          <w:sz w:val="22"/>
        </w:rPr>
      </w:pPr>
      <w:r>
        <w:rPr>
          <w:rFonts w:ascii="Century Gothic" w:hAnsi="Century Gothic" w:cs="Century Gothic"/>
          <w:bCs/>
          <w:color w:val="000000"/>
          <w:sz w:val="22"/>
        </w:rPr>
        <w:t>JEPB Rule 3 – Water Pollution</w:t>
      </w:r>
    </w:p>
    <w:p w14:paraId="742342D5" w14:textId="25A3CB4A" w:rsidR="00A12232" w:rsidRDefault="00A12232" w:rsidP="00A12232">
      <w:pPr>
        <w:pStyle w:val="ListParagraph"/>
        <w:autoSpaceDE w:val="0"/>
        <w:autoSpaceDN w:val="0"/>
        <w:adjustRightInd w:val="0"/>
        <w:ind w:left="1440"/>
        <w:rPr>
          <w:rFonts w:ascii="Century Gothic" w:hAnsi="Century Gothic" w:cs="Century Gothic"/>
          <w:bCs/>
          <w:color w:val="000000"/>
          <w:sz w:val="22"/>
        </w:rPr>
      </w:pPr>
    </w:p>
    <w:p w14:paraId="3235DEF0" w14:textId="169A8648" w:rsidR="008D097E" w:rsidRPr="00054AFF" w:rsidRDefault="008D097E" w:rsidP="008D097E">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VII</w:t>
      </w:r>
      <w:r w:rsidRPr="00054AFF">
        <w:rPr>
          <w:rFonts w:ascii="Century Gothic" w:eastAsiaTheme="majorEastAsia" w:hAnsi="Century Gothic" w:cstheme="majorBidi"/>
          <w:color w:val="365F91" w:themeColor="accent1" w:themeShade="BF"/>
          <w:sz w:val="22"/>
        </w:rPr>
        <w:t xml:space="preserve">I. OLD BUSINESS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57B65B74" w14:textId="77777777" w:rsidR="008D097E" w:rsidRPr="00172B7C" w:rsidRDefault="008D097E" w:rsidP="008D097E">
      <w:pPr>
        <w:pStyle w:val="ListParagraph"/>
        <w:keepNext/>
        <w:keepLines/>
        <w:numPr>
          <w:ilvl w:val="0"/>
          <w:numId w:val="2"/>
        </w:numPr>
        <w:ind w:left="1080"/>
        <w:outlineLvl w:val="0"/>
        <w:rPr>
          <w:rFonts w:ascii="Century Gothic" w:eastAsia="Times New Roman" w:hAnsi="Century Gothic" w:cs="Times New Roman"/>
          <w:b/>
          <w:bCs/>
          <w:sz w:val="22"/>
        </w:rPr>
      </w:pPr>
      <w:r>
        <w:rPr>
          <w:rFonts w:ascii="Century Gothic" w:hAnsi="Century Gothic"/>
          <w:sz w:val="22"/>
        </w:rPr>
        <w:t>None</w:t>
      </w:r>
    </w:p>
    <w:p w14:paraId="09DF48CF" w14:textId="77777777" w:rsidR="008D097E" w:rsidRDefault="008D097E" w:rsidP="008D097E">
      <w:pPr>
        <w:keepNext/>
        <w:keepLines/>
        <w:outlineLvl w:val="0"/>
        <w:rPr>
          <w:rFonts w:ascii="Century Gothic" w:eastAsiaTheme="majorEastAsia" w:hAnsi="Century Gothic" w:cstheme="majorBidi"/>
          <w:color w:val="365F91" w:themeColor="accent1" w:themeShade="BF"/>
          <w:sz w:val="22"/>
        </w:rPr>
      </w:pPr>
    </w:p>
    <w:p w14:paraId="55F8F49B" w14:textId="5CCDCF72" w:rsidR="008D097E" w:rsidRDefault="008D097E" w:rsidP="008D097E">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IX</w:t>
      </w:r>
      <w:r w:rsidRPr="00054AFF">
        <w:rPr>
          <w:rFonts w:ascii="Century Gothic" w:eastAsiaTheme="majorEastAsia" w:hAnsi="Century Gothic" w:cstheme="majorBidi"/>
          <w:color w:val="365F91" w:themeColor="accent1" w:themeShade="BF"/>
          <w:sz w:val="22"/>
        </w:rPr>
        <w:t>. NEW BUSINESS</w:t>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p>
    <w:p w14:paraId="4ACCBC1E" w14:textId="22AE218C" w:rsidR="008D097E" w:rsidRDefault="0028226E" w:rsidP="008D097E">
      <w:pPr>
        <w:numPr>
          <w:ilvl w:val="1"/>
          <w:numId w:val="8"/>
        </w:numPr>
        <w:ind w:left="1080"/>
      </w:pPr>
      <w:r>
        <w:t xml:space="preserve">Funding Request – </w:t>
      </w:r>
      <w:r w:rsidR="00A303DD">
        <w:t>SORR Community Engagement</w:t>
      </w:r>
    </w:p>
    <w:p w14:paraId="027BF5F5" w14:textId="77777777" w:rsidR="0028226E" w:rsidRDefault="0028226E" w:rsidP="0028226E">
      <w:pPr>
        <w:ind w:left="1080"/>
      </w:pPr>
    </w:p>
    <w:p w14:paraId="07C7CBCF" w14:textId="11443102" w:rsidR="00A12232" w:rsidRPr="00054AFF" w:rsidRDefault="008D097E" w:rsidP="00A12232">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X</w:t>
      </w:r>
      <w:r w:rsidR="00A12232" w:rsidRPr="00054AFF">
        <w:rPr>
          <w:rFonts w:ascii="Century Gothic" w:eastAsiaTheme="majorEastAsia" w:hAnsi="Century Gothic" w:cstheme="majorBidi"/>
          <w:color w:val="365F91" w:themeColor="accent1" w:themeShade="BF"/>
          <w:sz w:val="22"/>
        </w:rPr>
        <w:t>. COMMISSION &amp; JEPB COMMITTEE UPDATES &amp; REPORTS</w:t>
      </w:r>
    </w:p>
    <w:p w14:paraId="16E2835E" w14:textId="124280A0" w:rsidR="00A12232" w:rsidRPr="00BB6126"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20"/>
          <w:szCs w:val="20"/>
        </w:rPr>
      </w:pPr>
      <w:r w:rsidRPr="00BB6126">
        <w:rPr>
          <w:rFonts w:ascii="Century Gothic" w:hAnsi="Century Gothic" w:cs="Century Gothic"/>
          <w:color w:val="000000"/>
          <w:sz w:val="20"/>
          <w:szCs w:val="20"/>
        </w:rPr>
        <w:t xml:space="preserve">Waterways Commission </w:t>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006173A2">
        <w:rPr>
          <w:rFonts w:ascii="Century Gothic" w:hAnsi="Century Gothic" w:cs="Century Gothic"/>
          <w:b/>
          <w:color w:val="000000"/>
          <w:sz w:val="20"/>
          <w:szCs w:val="20"/>
        </w:rPr>
        <w:t>ADAM HOYLES</w:t>
      </w:r>
    </w:p>
    <w:p w14:paraId="0AD66559" w14:textId="77777777" w:rsidR="00A12232" w:rsidRPr="00BB6126"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20"/>
          <w:szCs w:val="20"/>
        </w:rPr>
      </w:pPr>
      <w:r w:rsidRPr="00BB6126">
        <w:rPr>
          <w:rFonts w:ascii="Century Gothic" w:hAnsi="Century Gothic" w:cs="Century Gothic"/>
          <w:color w:val="000000"/>
          <w:sz w:val="20"/>
          <w:szCs w:val="20"/>
        </w:rPr>
        <w:t>KJB Commission</w:t>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b/>
          <w:color w:val="000000"/>
          <w:sz w:val="20"/>
          <w:szCs w:val="20"/>
        </w:rPr>
        <w:t>JAMES RICHARDSON</w:t>
      </w:r>
    </w:p>
    <w:p w14:paraId="5DFAC3A6" w14:textId="77777777" w:rsidR="00A12232" w:rsidRPr="00BB6126"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20"/>
          <w:szCs w:val="20"/>
        </w:rPr>
      </w:pPr>
      <w:r w:rsidRPr="00BB6126">
        <w:rPr>
          <w:rFonts w:ascii="Century Gothic" w:hAnsi="Century Gothic" w:cs="Century Gothic"/>
          <w:color w:val="000000"/>
          <w:sz w:val="20"/>
          <w:szCs w:val="20"/>
        </w:rPr>
        <w:t xml:space="preserve">JEPB Water Committee </w:t>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b/>
          <w:color w:val="000000"/>
          <w:sz w:val="20"/>
          <w:szCs w:val="20"/>
        </w:rPr>
        <w:t>TERRY CARR</w:t>
      </w:r>
    </w:p>
    <w:p w14:paraId="7830999C" w14:textId="77777777" w:rsidR="00A12232" w:rsidRPr="00BB6126"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20"/>
          <w:szCs w:val="20"/>
        </w:rPr>
      </w:pPr>
      <w:r w:rsidRPr="00BB6126">
        <w:rPr>
          <w:rFonts w:ascii="Century Gothic" w:hAnsi="Century Gothic" w:cs="Century Gothic"/>
          <w:color w:val="000000"/>
          <w:sz w:val="20"/>
          <w:szCs w:val="20"/>
        </w:rPr>
        <w:t xml:space="preserve">JEPB Air Committee </w:t>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b/>
          <w:color w:val="000000"/>
          <w:sz w:val="20"/>
          <w:szCs w:val="20"/>
        </w:rPr>
        <w:t>MICHAEL WILLIAMS</w:t>
      </w:r>
    </w:p>
    <w:p w14:paraId="7B81DB7F" w14:textId="77777777" w:rsidR="00A12232" w:rsidRPr="00BB6126"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20"/>
          <w:szCs w:val="20"/>
        </w:rPr>
      </w:pPr>
      <w:r w:rsidRPr="00BB6126">
        <w:rPr>
          <w:rFonts w:ascii="Century Gothic" w:hAnsi="Century Gothic" w:cs="Century Gothic"/>
          <w:color w:val="000000"/>
          <w:sz w:val="20"/>
          <w:szCs w:val="20"/>
        </w:rPr>
        <w:t>JEPB Education &amp; Outreach Committee</w:t>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color w:val="000000"/>
          <w:sz w:val="20"/>
          <w:szCs w:val="20"/>
        </w:rPr>
        <w:tab/>
      </w:r>
      <w:r w:rsidRPr="00BB6126">
        <w:rPr>
          <w:rFonts w:ascii="Century Gothic" w:hAnsi="Century Gothic" w:cs="Century Gothic"/>
          <w:b/>
          <w:color w:val="000000"/>
          <w:sz w:val="20"/>
          <w:szCs w:val="20"/>
        </w:rPr>
        <w:t>DAVID WOOD</w:t>
      </w:r>
    </w:p>
    <w:p w14:paraId="3FCE91A5" w14:textId="1F75D860" w:rsidR="00A12232" w:rsidRDefault="00A12232" w:rsidP="00A12232">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06FA8EF4" w14:textId="554AE355" w:rsidR="00577595" w:rsidRDefault="00577595" w:rsidP="00A12232">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350012AA" w14:textId="5ED8D4FB" w:rsidR="00577595" w:rsidRDefault="00577595" w:rsidP="00A12232">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3F6F7720" w14:textId="77777777" w:rsidR="00577595" w:rsidRDefault="00577595" w:rsidP="00A12232">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72B6402E" w14:textId="32172981" w:rsidR="00A12232" w:rsidRDefault="00A12232" w:rsidP="00A12232">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lastRenderedPageBreak/>
        <w:t>X</w:t>
      </w:r>
      <w:r w:rsidR="008D097E">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   </w:t>
      </w:r>
      <w:r w:rsidRPr="00172B7C">
        <w:rPr>
          <w:rFonts w:ascii="Century Gothic" w:eastAsiaTheme="majorEastAsia" w:hAnsi="Century Gothic" w:cstheme="majorBidi"/>
          <w:color w:val="4F81BD" w:themeColor="accent1"/>
          <w:sz w:val="22"/>
        </w:rPr>
        <w:t>EPB ADMINISTRATOR REPORT</w:t>
      </w:r>
      <w:r>
        <w:rPr>
          <w:rFonts w:ascii="Century Gothic" w:eastAsiaTheme="majorEastAsia" w:hAnsi="Century Gothic" w:cstheme="majorBidi"/>
          <w:sz w:val="22"/>
        </w:rPr>
        <w:tab/>
      </w:r>
      <w:r>
        <w:rPr>
          <w:rFonts w:ascii="Century Gothic" w:eastAsiaTheme="majorEastAsia" w:hAnsi="Century Gothic" w:cstheme="majorBidi"/>
          <w:sz w:val="22"/>
        </w:rPr>
        <w:tab/>
      </w:r>
      <w:r>
        <w:rPr>
          <w:rFonts w:ascii="Century Gothic" w:eastAsiaTheme="majorEastAsia" w:hAnsi="Century Gothic" w:cstheme="majorBidi"/>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ab/>
      </w:r>
      <w:r w:rsidRPr="00054AFF">
        <w:rPr>
          <w:rFonts w:ascii="Century Gothic" w:hAnsi="Century Gothic" w:cs="Century Gothic"/>
          <w:b/>
          <w:bCs/>
          <w:color w:val="000000"/>
          <w:sz w:val="22"/>
        </w:rPr>
        <w:t>JAMES RICHARDSON</w:t>
      </w:r>
    </w:p>
    <w:p w14:paraId="54C90B5D" w14:textId="77777777" w:rsidR="00A12232" w:rsidRPr="00054AFF" w:rsidRDefault="00A12232" w:rsidP="00A12232">
      <w:pPr>
        <w:autoSpaceDE w:val="0"/>
        <w:autoSpaceDN w:val="0"/>
        <w:adjustRightInd w:val="0"/>
        <w:rPr>
          <w:rFonts w:ascii="Century Gothic" w:hAnsi="Century Gothic" w:cs="Century Gothic"/>
          <w:b/>
          <w:bCs/>
          <w:color w:val="000000"/>
          <w:sz w:val="22"/>
        </w:rPr>
      </w:pPr>
    </w:p>
    <w:p w14:paraId="3FC5C2EE" w14:textId="015D6355" w:rsidR="00A12232" w:rsidRPr="00054AFF" w:rsidRDefault="00A12232" w:rsidP="00A12232">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w:t>
      </w:r>
      <w:r w:rsidR="008D097E">
        <w:rPr>
          <w:rFonts w:ascii="Century Gothic" w:eastAsiaTheme="majorEastAsia" w:hAnsi="Century Gothic" w:cstheme="majorBidi"/>
          <w:color w:val="365F91" w:themeColor="accent1" w:themeShade="BF"/>
          <w:sz w:val="22"/>
        </w:rPr>
        <w:t>II</w:t>
      </w:r>
      <w:r w:rsidR="00737D64">
        <w:rPr>
          <w:rFonts w:ascii="Century Gothic" w:eastAsiaTheme="majorEastAsia" w:hAnsi="Century Gothic" w:cstheme="majorBidi"/>
          <w:color w:val="365F91" w:themeColor="accent1" w:themeShade="BF"/>
          <w:sz w:val="22"/>
        </w:rPr>
        <w:t xml:space="preserve">. </w:t>
      </w:r>
      <w:r w:rsidRPr="00054AFF">
        <w:rPr>
          <w:rFonts w:ascii="Century Gothic" w:eastAsiaTheme="majorEastAsia" w:hAnsi="Century Gothic" w:cstheme="majorBidi"/>
          <w:color w:val="365F91" w:themeColor="accent1" w:themeShade="BF"/>
          <w:sz w:val="22"/>
        </w:rPr>
        <w:t>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MELISSA LONG</w:t>
      </w:r>
    </w:p>
    <w:p w14:paraId="60BB33A2" w14:textId="77777777" w:rsidR="0028226E" w:rsidRDefault="0028226E" w:rsidP="00A12232">
      <w:pPr>
        <w:keepNext/>
        <w:keepLines/>
        <w:outlineLvl w:val="0"/>
        <w:rPr>
          <w:rFonts w:ascii="Century Gothic" w:eastAsiaTheme="majorEastAsia" w:hAnsi="Century Gothic" w:cstheme="majorBidi"/>
          <w:color w:val="365F91" w:themeColor="accent1" w:themeShade="BF"/>
          <w:sz w:val="22"/>
        </w:rPr>
      </w:pPr>
    </w:p>
    <w:p w14:paraId="520D089E" w14:textId="62DD5964" w:rsidR="00A12232" w:rsidRPr="00054AFF"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w:t>
      </w:r>
      <w:r>
        <w:rPr>
          <w:rFonts w:ascii="Century Gothic" w:eastAsiaTheme="majorEastAsia" w:hAnsi="Century Gothic" w:cstheme="majorBidi"/>
          <w:color w:val="365F91" w:themeColor="accent1" w:themeShade="BF"/>
          <w:sz w:val="22"/>
        </w:rPr>
        <w:t>II</w:t>
      </w:r>
      <w:r w:rsidRPr="00054AFF">
        <w:rPr>
          <w:rFonts w:ascii="Century Gothic" w:eastAsiaTheme="majorEastAsia" w:hAnsi="Century Gothic" w:cstheme="majorBidi"/>
          <w:color w:val="365F91" w:themeColor="accent1" w:themeShade="BF"/>
          <w:sz w:val="22"/>
        </w:rPr>
        <w:t>. ITEMS REFERRED TO COMMITTEES</w:t>
      </w:r>
    </w:p>
    <w:p w14:paraId="59106E0A" w14:textId="77777777" w:rsidR="00A12232" w:rsidRDefault="00A12232" w:rsidP="00A12232">
      <w:pPr>
        <w:autoSpaceDE w:val="0"/>
        <w:autoSpaceDN w:val="0"/>
        <w:adjustRightInd w:val="0"/>
        <w:rPr>
          <w:rFonts w:ascii="Century Gothic" w:hAnsi="Century Gothic" w:cs="Century Gothic"/>
          <w:b/>
          <w:bCs/>
          <w:sz w:val="22"/>
        </w:rPr>
      </w:pPr>
    </w:p>
    <w:p w14:paraId="665A4AE6" w14:textId="77777777" w:rsidR="00A12232" w:rsidRPr="00054AFF"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V. NEXT SCHEDULED BOARD MEETING(s) </w:t>
      </w:r>
    </w:p>
    <w:p w14:paraId="30F84E85" w14:textId="77777777" w:rsidR="00A12232" w:rsidRDefault="00A12232" w:rsidP="00A12232">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Committees </w:t>
      </w:r>
    </w:p>
    <w:p w14:paraId="47933498" w14:textId="15B4083F" w:rsidR="00A12232" w:rsidRDefault="0097512A" w:rsidP="00A12232">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Water Committee – </w:t>
      </w:r>
      <w:r w:rsidR="0028226E">
        <w:rPr>
          <w:rFonts w:ascii="Century Gothic" w:hAnsi="Century Gothic" w:cs="Century Gothic"/>
          <w:sz w:val="22"/>
        </w:rPr>
        <w:t>TBD</w:t>
      </w:r>
    </w:p>
    <w:p w14:paraId="36AD0C5D" w14:textId="67A492E1" w:rsidR="0028226E" w:rsidRDefault="0028226E" w:rsidP="00A12232">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Air Committee - TBD</w:t>
      </w:r>
    </w:p>
    <w:p w14:paraId="75558DF9" w14:textId="2391E3CD" w:rsidR="00A12232" w:rsidRPr="00B8498A" w:rsidRDefault="00A12232" w:rsidP="00A12232">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w:t>
      </w:r>
      <w:r w:rsidR="00577595">
        <w:rPr>
          <w:rFonts w:ascii="Century Gothic" w:hAnsi="Century Gothic" w:cs="Century Gothic"/>
          <w:sz w:val="22"/>
        </w:rPr>
        <w:t>May 9</w:t>
      </w:r>
      <w:r>
        <w:rPr>
          <w:rFonts w:ascii="Century Gothic" w:hAnsi="Century Gothic" w:cs="Century Gothic"/>
          <w:sz w:val="22"/>
        </w:rPr>
        <w:t>, 2022,</w:t>
      </w:r>
      <w:r w:rsidRPr="00B8498A">
        <w:rPr>
          <w:rFonts w:ascii="Century Gothic" w:hAnsi="Century Gothic" w:cs="Century Gothic"/>
          <w:sz w:val="22"/>
        </w:rPr>
        <w:t xml:space="preserve"> at 4:00 pm</w:t>
      </w:r>
    </w:p>
    <w:p w14:paraId="6E3472BB" w14:textId="0E24A5E3" w:rsidR="00A12232" w:rsidRPr="0097512A" w:rsidRDefault="00A12232" w:rsidP="00A12232">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97512A">
        <w:rPr>
          <w:rFonts w:ascii="Century Gothic" w:hAnsi="Century Gothic" w:cs="Century Gothic"/>
          <w:sz w:val="22"/>
        </w:rPr>
        <w:t xml:space="preserve">JEPB Monthly Meeting – </w:t>
      </w:r>
      <w:r w:rsidR="00577595">
        <w:rPr>
          <w:rFonts w:ascii="Century Gothic" w:hAnsi="Century Gothic" w:cs="Century Gothic"/>
          <w:sz w:val="22"/>
        </w:rPr>
        <w:t>May 16</w:t>
      </w:r>
      <w:r w:rsidRPr="0097512A">
        <w:rPr>
          <w:rFonts w:ascii="Century Gothic" w:hAnsi="Century Gothic" w:cs="Century Gothic"/>
          <w:sz w:val="22"/>
        </w:rPr>
        <w:t>, 2022, at 5:00 pm</w:t>
      </w:r>
    </w:p>
    <w:p w14:paraId="6D2251B6" w14:textId="77777777" w:rsidR="00A12232" w:rsidRDefault="00A12232" w:rsidP="00A12232">
      <w:pPr>
        <w:autoSpaceDE w:val="0"/>
        <w:autoSpaceDN w:val="0"/>
        <w:adjustRightInd w:val="0"/>
        <w:spacing w:after="200" w:line="276" w:lineRule="auto"/>
        <w:ind w:left="1080"/>
        <w:contextualSpacing/>
        <w:rPr>
          <w:rFonts w:ascii="Century Gothic" w:hAnsi="Century Gothic" w:cs="Century Gothic"/>
          <w:sz w:val="18"/>
          <w:szCs w:val="18"/>
        </w:rPr>
      </w:pPr>
    </w:p>
    <w:p w14:paraId="58A5B4F7" w14:textId="1B873E0E" w:rsidR="00A12232" w:rsidRPr="00054AFF" w:rsidRDefault="00737D64" w:rsidP="00A12232">
      <w:pPr>
        <w:keepNext/>
        <w:keepLines/>
        <w:outlineLvl w:val="0"/>
        <w:rPr>
          <w:rFonts w:ascii="Century Gothic" w:eastAsia="Calibri" w:hAnsi="Century Gothic" w:cs="Times New Roman"/>
          <w:color w:val="365F91" w:themeColor="accent1" w:themeShade="BF"/>
          <w:sz w:val="22"/>
        </w:rPr>
      </w:pPr>
      <w:r>
        <w:rPr>
          <w:rFonts w:ascii="Century Gothic" w:eastAsiaTheme="majorEastAsia" w:hAnsi="Century Gothic" w:cstheme="majorBidi"/>
          <w:color w:val="365F91" w:themeColor="accent1" w:themeShade="BF"/>
          <w:sz w:val="22"/>
        </w:rPr>
        <w:t xml:space="preserve">XV. </w:t>
      </w:r>
      <w:r w:rsidR="00A12232" w:rsidRPr="00054AFF">
        <w:rPr>
          <w:rFonts w:ascii="Century Gothic" w:eastAsiaTheme="majorEastAsia" w:hAnsi="Century Gothic" w:cstheme="majorBidi"/>
          <w:color w:val="365F91" w:themeColor="accent1" w:themeShade="BF"/>
          <w:sz w:val="22"/>
        </w:rPr>
        <w:t xml:space="preserve">ADJOURNMENT </w:t>
      </w:r>
    </w:p>
    <w:p w14:paraId="681C5FB0" w14:textId="77777777" w:rsidR="00A12232" w:rsidRDefault="00A12232" w:rsidP="00A12232"/>
    <w:p w14:paraId="6A0C57E6" w14:textId="77777777" w:rsidR="00A12232" w:rsidRDefault="00A12232"/>
    <w:sectPr w:rsidR="00A12232" w:rsidSect="00683D3D">
      <w:headerReference w:type="first" r:id="rId8"/>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4F8922C9" w:rsidR="00683D3D" w:rsidRDefault="00EF17DF" w:rsidP="00BB05D0">
          <w:pPr>
            <w:pStyle w:val="Header"/>
            <w:spacing w:after="480"/>
            <w:rPr>
              <w:color w:val="1F497D" w:themeColor="text2"/>
              <w:sz w:val="16"/>
              <w:szCs w:val="16"/>
            </w:rPr>
          </w:pPr>
          <w:r>
            <w:rPr>
              <w:b/>
              <w:color w:val="1F497D" w:themeColor="text2"/>
              <w:sz w:val="16"/>
              <w:szCs w:val="16"/>
            </w:rPr>
            <w:t xml:space="preserve">Jacksonville </w:t>
          </w:r>
          <w:r w:rsidR="00683D3D">
            <w:rPr>
              <w:b/>
              <w:color w:val="1F497D" w:themeColor="text2"/>
              <w:sz w:val="16"/>
              <w:szCs w:val="16"/>
            </w:rPr>
            <w:t>Environmental Protection Board Members</w:t>
          </w:r>
          <w:r w:rsidR="00683D3D" w:rsidRPr="00EC3733">
            <w:rPr>
              <w:color w:val="1F497D" w:themeColor="text2"/>
              <w:sz w:val="16"/>
              <w:szCs w:val="16"/>
            </w:rPr>
            <w:br/>
          </w:r>
          <w:r w:rsidR="001E7050">
            <w:rPr>
              <w:color w:val="1F497D" w:themeColor="text2"/>
              <w:sz w:val="16"/>
              <w:szCs w:val="16"/>
            </w:rPr>
            <w:t>David Wood</w:t>
          </w:r>
          <w:r w:rsidR="00683D3D">
            <w:rPr>
              <w:color w:val="1F497D" w:themeColor="text2"/>
              <w:sz w:val="16"/>
              <w:szCs w:val="16"/>
            </w:rPr>
            <w:t xml:space="preserve"> - Chairman</w:t>
          </w:r>
          <w:r w:rsidR="00683D3D">
            <w:rPr>
              <w:color w:val="1F497D" w:themeColor="text2"/>
              <w:sz w:val="16"/>
              <w:szCs w:val="16"/>
            </w:rPr>
            <w:br/>
          </w:r>
          <w:r w:rsidR="0050363F">
            <w:rPr>
              <w:color w:val="1F497D" w:themeColor="text2"/>
              <w:sz w:val="16"/>
              <w:szCs w:val="16"/>
            </w:rPr>
            <w:t>Thomas Deck</w:t>
          </w:r>
          <w:r w:rsidR="00683D3D">
            <w:rPr>
              <w:color w:val="1F497D" w:themeColor="text2"/>
              <w:sz w:val="16"/>
              <w:szCs w:val="16"/>
            </w:rPr>
            <w:t xml:space="preserve"> – Vice Chairman</w:t>
          </w:r>
          <w:r w:rsidR="00683D3D">
            <w:rPr>
              <w:color w:val="1F497D" w:themeColor="text2"/>
              <w:sz w:val="16"/>
              <w:szCs w:val="16"/>
            </w:rPr>
            <w:br/>
            <w:t>Roi Dagan,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sidR="00683D3D">
            <w:rPr>
              <w:color w:val="1F497D" w:themeColor="text2"/>
              <w:sz w:val="16"/>
              <w:szCs w:val="16"/>
            </w:rPr>
            <w:br/>
          </w:r>
          <w:r w:rsidR="000B378F">
            <w:rPr>
              <w:color w:val="1F497D" w:themeColor="text2"/>
              <w:sz w:val="16"/>
              <w:szCs w:val="16"/>
            </w:rPr>
            <w:t xml:space="preserve">Beth Leaptrott, </w:t>
          </w:r>
          <w:r w:rsidR="002B2EF8">
            <w:rPr>
              <w:color w:val="1F497D" w:themeColor="text2"/>
              <w:sz w:val="16"/>
              <w:szCs w:val="16"/>
            </w:rPr>
            <w:t xml:space="preserve">Clint Noble, </w:t>
          </w:r>
          <w:r w:rsidR="001E7050">
            <w:rPr>
              <w:color w:val="1F497D" w:themeColor="text2"/>
              <w:sz w:val="16"/>
              <w:szCs w:val="16"/>
            </w:rPr>
            <w:t>Guillermo Simon</w:t>
          </w:r>
          <w:r w:rsidR="00683D3D">
            <w:rPr>
              <w:color w:val="1F497D" w:themeColor="text2"/>
              <w:sz w:val="16"/>
              <w:szCs w:val="16"/>
            </w:rPr>
            <w:t xml:space="preserve"> </w:t>
          </w:r>
        </w:p>
        <w:p w14:paraId="602967A1" w14:textId="60A108A2" w:rsidR="003355F7" w:rsidRDefault="00683D3D" w:rsidP="003355F7">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3355F7">
            <w:rPr>
              <w:color w:val="1F497D" w:themeColor="text2"/>
              <w:sz w:val="16"/>
              <w:szCs w:val="16"/>
            </w:rPr>
            <w:t>David Wood – Chair</w:t>
          </w:r>
        </w:p>
        <w:p w14:paraId="1B8851DA" w14:textId="3CBC03B1" w:rsidR="00683D3D" w:rsidRPr="00D03439" w:rsidRDefault="003355F7" w:rsidP="003355F7">
          <w:pPr>
            <w:pStyle w:val="Header"/>
            <w:spacing w:after="480"/>
            <w:rPr>
              <w:noProof/>
              <w:color w:val="1F497D" w:themeColor="text2"/>
              <w:sz w:val="16"/>
              <w:szCs w:val="16"/>
            </w:rPr>
          </w:pPr>
          <w:r>
            <w:rPr>
              <w:color w:val="1F497D" w:themeColor="text2"/>
              <w:sz w:val="16"/>
              <w:szCs w:val="16"/>
            </w:rPr>
            <w:t>Charles Garrison</w:t>
          </w:r>
          <w:r w:rsidR="00683D3D" w:rsidRPr="00EC3733">
            <w:rPr>
              <w:color w:val="1F497D" w:themeColor="text2"/>
              <w:sz w:val="16"/>
              <w:szCs w:val="16"/>
            </w:rPr>
            <w:br/>
          </w:r>
          <w:r w:rsidR="000B378F">
            <w:rPr>
              <w:color w:val="1F497D" w:themeColor="text2"/>
              <w:sz w:val="16"/>
              <w:szCs w:val="16"/>
            </w:rPr>
            <w:t>Thomas Deck</w:t>
          </w: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5B086A62" w:rsidR="000B378F" w:rsidRDefault="000B378F" w:rsidP="000B378F">
          <w:pPr>
            <w:pStyle w:val="Header"/>
            <w:rPr>
              <w:color w:val="1F497D" w:themeColor="text2"/>
              <w:sz w:val="16"/>
              <w:szCs w:val="16"/>
            </w:rPr>
          </w:pPr>
          <w:r>
            <w:rPr>
              <w:color w:val="1F497D" w:themeColor="text2"/>
              <w:sz w:val="16"/>
              <w:szCs w:val="16"/>
            </w:rPr>
            <w:t>Adam Hoyles</w:t>
          </w:r>
        </w:p>
        <w:p w14:paraId="6CE62AFC" w14:textId="45AA94CE" w:rsidR="002B2EF8" w:rsidRDefault="002B2EF8"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2DCF0CA0"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031B0696" w14:textId="77777777" w:rsidR="002B2EF8" w:rsidRDefault="000B378F" w:rsidP="003355F7">
          <w:pPr>
            <w:pStyle w:val="Header"/>
            <w:rPr>
              <w:color w:val="1F497D" w:themeColor="text2"/>
              <w:sz w:val="16"/>
              <w:szCs w:val="16"/>
            </w:rPr>
          </w:pPr>
          <w:r>
            <w:rPr>
              <w:color w:val="1F497D" w:themeColor="text2"/>
              <w:sz w:val="16"/>
              <w:szCs w:val="16"/>
            </w:rPr>
            <w:t>Beth Leaptrott</w:t>
          </w:r>
        </w:p>
        <w:p w14:paraId="6C32E010" w14:textId="04884F15" w:rsidR="001E7050" w:rsidRPr="00EC3733" w:rsidRDefault="002B2EF8"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6629A"/>
    <w:multiLevelType w:val="hybridMultilevel"/>
    <w:tmpl w:val="0114B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4580C"/>
    <w:multiLevelType w:val="hybridMultilevel"/>
    <w:tmpl w:val="3ABCAE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2A05E7E"/>
    <w:multiLevelType w:val="hybridMultilevel"/>
    <w:tmpl w:val="558897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D6467"/>
    <w:multiLevelType w:val="hybridMultilevel"/>
    <w:tmpl w:val="A6F240A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4170A05"/>
    <w:multiLevelType w:val="hybridMultilevel"/>
    <w:tmpl w:val="7708E8D8"/>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6" w15:restartNumberingAfterBreak="0">
    <w:nsid w:val="354F46C1"/>
    <w:multiLevelType w:val="hybridMultilevel"/>
    <w:tmpl w:val="3932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B45FF8"/>
    <w:multiLevelType w:val="hybridMultilevel"/>
    <w:tmpl w:val="72D8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61C74"/>
    <w:multiLevelType w:val="hybridMultilevel"/>
    <w:tmpl w:val="5BDC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94DB1"/>
    <w:multiLevelType w:val="hybridMultilevel"/>
    <w:tmpl w:val="B606A64E"/>
    <w:lvl w:ilvl="0" w:tplc="FFFFFFFF">
      <w:start w:val="1"/>
      <w:numFmt w:val="decimal"/>
      <w:lvlText w:val="%1."/>
      <w:lvlJc w:val="left"/>
      <w:pPr>
        <w:ind w:left="3240" w:hanging="360"/>
      </w:pPr>
    </w:lvl>
    <w:lvl w:ilvl="1" w:tplc="FFFFFFFF">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 w15:restartNumberingAfterBreak="0">
    <w:nsid w:val="50A460BE"/>
    <w:multiLevelType w:val="hybridMultilevel"/>
    <w:tmpl w:val="B606A64E"/>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FC7B72"/>
    <w:multiLevelType w:val="hybridMultilevel"/>
    <w:tmpl w:val="533815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2A90BAD"/>
    <w:multiLevelType w:val="hybridMultilevel"/>
    <w:tmpl w:val="5D90BAF4"/>
    <w:lvl w:ilvl="0" w:tplc="FFFFFFFF">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1C4DF3"/>
    <w:multiLevelType w:val="hybridMultilevel"/>
    <w:tmpl w:val="B91013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1"/>
  </w:num>
  <w:num w:numId="4">
    <w:abstractNumId w:val="14"/>
  </w:num>
  <w:num w:numId="5">
    <w:abstractNumId w:val="4"/>
  </w:num>
  <w:num w:numId="6">
    <w:abstractNumId w:val="12"/>
  </w:num>
  <w:num w:numId="7">
    <w:abstractNumId w:val="8"/>
  </w:num>
  <w:num w:numId="8">
    <w:abstractNumId w:val="5"/>
  </w:num>
  <w:num w:numId="9">
    <w:abstractNumId w:val="6"/>
  </w:num>
  <w:num w:numId="10">
    <w:abstractNumId w:val="2"/>
  </w:num>
  <w:num w:numId="11">
    <w:abstractNumId w:val="0"/>
  </w:num>
  <w:num w:numId="12">
    <w:abstractNumId w:val="7"/>
  </w:num>
  <w:num w:numId="13">
    <w:abstractNumId w:val="1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439"/>
    <w:rsid w:val="000B378F"/>
    <w:rsid w:val="000F681E"/>
    <w:rsid w:val="00104363"/>
    <w:rsid w:val="00111EEB"/>
    <w:rsid w:val="001E7050"/>
    <w:rsid w:val="00211C95"/>
    <w:rsid w:val="0027408B"/>
    <w:rsid w:val="0028226E"/>
    <w:rsid w:val="002B2EF8"/>
    <w:rsid w:val="002E2051"/>
    <w:rsid w:val="003355F7"/>
    <w:rsid w:val="00450A44"/>
    <w:rsid w:val="004D62EB"/>
    <w:rsid w:val="0050164B"/>
    <w:rsid w:val="0050363F"/>
    <w:rsid w:val="00577595"/>
    <w:rsid w:val="005960BE"/>
    <w:rsid w:val="006173A2"/>
    <w:rsid w:val="00661145"/>
    <w:rsid w:val="006826BB"/>
    <w:rsid w:val="00683D3D"/>
    <w:rsid w:val="006F5563"/>
    <w:rsid w:val="00737D64"/>
    <w:rsid w:val="008017C6"/>
    <w:rsid w:val="0085140D"/>
    <w:rsid w:val="008A4B6B"/>
    <w:rsid w:val="008D097E"/>
    <w:rsid w:val="008D3936"/>
    <w:rsid w:val="0097512A"/>
    <w:rsid w:val="00A12232"/>
    <w:rsid w:val="00A303DD"/>
    <w:rsid w:val="00A77E44"/>
    <w:rsid w:val="00A94C57"/>
    <w:rsid w:val="00AC079E"/>
    <w:rsid w:val="00C038F6"/>
    <w:rsid w:val="00C37408"/>
    <w:rsid w:val="00D03439"/>
    <w:rsid w:val="00E26100"/>
    <w:rsid w:val="00EF17DF"/>
    <w:rsid w:val="00F30A7F"/>
    <w:rsid w:val="00FE0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E91FA-046A-4F41-9C9B-3CD28690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6</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4</cp:revision>
  <dcterms:created xsi:type="dcterms:W3CDTF">2022-04-11T17:49:00Z</dcterms:created>
  <dcterms:modified xsi:type="dcterms:W3CDTF">2022-04-18T22:34:00Z</dcterms:modified>
</cp:coreProperties>
</file>